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87B885">
      <w:pPr>
        <w:widowControl w:val="0"/>
        <w:spacing w:before="0" w:after="0" w:line="360" w:lineRule="auto"/>
        <w:ind w:firstLine="560"/>
        <w:rPr>
          <w:rFonts w:ascii="黑体" w:hAnsi="黑体" w:eastAsia="黑体" w:cs="黑体"/>
          <w:color w:val="auto"/>
          <w:spacing w:val="-2"/>
          <w:sz w:val="28"/>
          <w:szCs w:val="28"/>
        </w:rPr>
      </w:pPr>
      <w:r>
        <w:rPr>
          <w:rFonts w:ascii="黑体" w:hAnsi="黑体" w:eastAsia="黑体" w:cs="黑体"/>
          <w:color w:val="auto"/>
          <w:spacing w:val="-2"/>
          <w:sz w:val="28"/>
          <w:szCs w:val="28"/>
        </w:rPr>
        <w:t>协议编号：</w:t>
      </w:r>
    </w:p>
    <w:p w14:paraId="3C221C2C">
      <w:pPr>
        <w:widowControl w:val="0"/>
        <w:spacing w:before="0" w:after="0" w:line="360" w:lineRule="auto"/>
        <w:ind w:firstLine="560"/>
        <w:rPr>
          <w:rFonts w:hint="eastAsia" w:ascii="黑体" w:hAnsi="黑体" w:eastAsia="黑体" w:cs="黑体"/>
          <w:color w:val="auto"/>
          <w:spacing w:val="-2"/>
          <w:sz w:val="28"/>
          <w:szCs w:val="28"/>
          <w:lang w:val="en-US" w:eastAsia="zh-CN"/>
        </w:rPr>
      </w:pPr>
    </w:p>
    <w:p w14:paraId="0F3B1E4F">
      <w:pPr>
        <w:widowControl w:val="0"/>
        <w:spacing w:before="0" w:after="120" w:line="360" w:lineRule="auto"/>
        <w:rPr>
          <w:rFonts w:ascii="Times New Roman" w:hAnsi="Times New Roman" w:eastAsia="Times New Roman" w:cs="Times New Roman"/>
          <w:color w:val="auto"/>
          <w:sz w:val="24"/>
          <w:szCs w:val="24"/>
        </w:rPr>
      </w:pPr>
    </w:p>
    <w:p w14:paraId="47CB0A48">
      <w:pPr>
        <w:widowControl w:val="0"/>
        <w:spacing w:before="0" w:after="120" w:line="360" w:lineRule="auto"/>
        <w:jc w:val="center"/>
        <w:rPr>
          <w:rFonts w:ascii="Times New Roman" w:hAnsi="Times New Roman" w:eastAsia="Times New Roman" w:cs="Times New Roman"/>
          <w:color w:val="auto"/>
          <w:sz w:val="24"/>
          <w:szCs w:val="24"/>
        </w:rPr>
      </w:pPr>
    </w:p>
    <w:p w14:paraId="4928098E">
      <w:pPr>
        <w:widowControl w:val="0"/>
        <w:spacing w:before="0" w:after="0" w:line="360" w:lineRule="auto"/>
        <w:jc w:val="center"/>
        <w:rPr>
          <w:color w:val="auto"/>
          <w:sz w:val="52"/>
          <w:szCs w:val="52"/>
        </w:rPr>
      </w:pPr>
      <w:r>
        <w:rPr>
          <w:rFonts w:ascii="黑体" w:hAnsi="黑体" w:eastAsia="黑体" w:cs="黑体"/>
          <w:b/>
          <w:bCs/>
          <w:color w:val="auto"/>
          <w:spacing w:val="-11"/>
          <w:sz w:val="52"/>
          <w:szCs w:val="52"/>
        </w:rPr>
        <w:t>稻里・云海项目（一期）招商公告</w:t>
      </w:r>
    </w:p>
    <w:p w14:paraId="1474E61F">
      <w:pPr>
        <w:widowControl w:val="0"/>
        <w:spacing w:before="0" w:after="0" w:line="360" w:lineRule="auto"/>
        <w:jc w:val="center"/>
        <w:rPr>
          <w:rFonts w:ascii="Times New Roman" w:hAnsi="Times New Roman" w:eastAsia="Times New Roman" w:cs="Times New Roman"/>
          <w:b/>
          <w:bCs/>
          <w:color w:val="auto"/>
          <w:spacing w:val="-11"/>
          <w:sz w:val="52"/>
          <w:szCs w:val="52"/>
        </w:rPr>
      </w:pPr>
    </w:p>
    <w:p w14:paraId="10F3C7A1">
      <w:pPr>
        <w:widowControl w:val="0"/>
        <w:spacing w:before="0" w:after="0" w:line="360" w:lineRule="auto"/>
        <w:jc w:val="center"/>
        <w:rPr>
          <w:color w:val="auto"/>
          <w:sz w:val="52"/>
          <w:szCs w:val="52"/>
        </w:rPr>
      </w:pPr>
      <w:r>
        <w:rPr>
          <w:rFonts w:ascii="黑体" w:hAnsi="黑体" w:eastAsia="黑体" w:cs="黑体"/>
          <w:b/>
          <w:bCs/>
          <w:color w:val="auto"/>
          <w:spacing w:val="-11"/>
          <w:sz w:val="52"/>
          <w:szCs w:val="52"/>
        </w:rPr>
        <w:t>合作协议书</w:t>
      </w:r>
    </w:p>
    <w:p w14:paraId="4F7D1BB8">
      <w:pPr>
        <w:widowControl w:val="0"/>
        <w:spacing w:before="0" w:after="120" w:line="360" w:lineRule="auto"/>
        <w:ind w:firstLine="480"/>
        <w:rPr>
          <w:rFonts w:ascii="Times New Roman" w:hAnsi="Times New Roman" w:eastAsia="Times New Roman" w:cs="Times New Roman"/>
          <w:color w:val="auto"/>
          <w:sz w:val="24"/>
          <w:szCs w:val="24"/>
        </w:rPr>
      </w:pPr>
    </w:p>
    <w:p w14:paraId="52CE4BD3">
      <w:pPr>
        <w:widowControl w:val="0"/>
        <w:spacing w:before="0" w:after="120" w:line="360" w:lineRule="auto"/>
        <w:ind w:firstLine="480"/>
        <w:rPr>
          <w:rFonts w:ascii="Times New Roman" w:hAnsi="Times New Roman" w:eastAsia="Times New Roman" w:cs="Times New Roman"/>
          <w:color w:val="auto"/>
          <w:sz w:val="24"/>
          <w:szCs w:val="24"/>
        </w:rPr>
      </w:pPr>
    </w:p>
    <w:p w14:paraId="0A068307">
      <w:pPr>
        <w:widowControl w:val="0"/>
        <w:spacing w:before="0" w:after="120" w:line="360" w:lineRule="auto"/>
        <w:ind w:firstLine="480"/>
        <w:rPr>
          <w:rFonts w:ascii="Times New Roman" w:hAnsi="Times New Roman" w:eastAsia="Times New Roman" w:cs="Times New Roman"/>
          <w:color w:val="auto"/>
          <w:sz w:val="24"/>
          <w:szCs w:val="24"/>
        </w:rPr>
      </w:pPr>
    </w:p>
    <w:p w14:paraId="7B70E03E">
      <w:pPr>
        <w:widowControl w:val="0"/>
        <w:spacing w:before="0" w:after="0" w:line="360" w:lineRule="auto"/>
        <w:ind w:firstLine="640"/>
        <w:jc w:val="both"/>
        <w:rPr>
          <w:rFonts w:ascii="方正楷体_GBK" w:hAnsi="方正楷体_GBK" w:eastAsia="方正楷体_GBK" w:cs="方正楷体_GBK"/>
          <w:color w:val="auto"/>
          <w:sz w:val="32"/>
          <w:szCs w:val="32"/>
          <w:u w:val="single" w:color="B5082E"/>
        </w:rPr>
      </w:pPr>
      <w:r>
        <w:rPr>
          <w:rFonts w:ascii="方正楷体_GBK" w:hAnsi="方正楷体_GBK" w:eastAsia="方正楷体_GBK" w:cs="方正楷体_GBK"/>
          <w:color w:val="auto"/>
          <w:spacing w:val="120"/>
          <w:sz w:val="32"/>
          <w:szCs w:val="32"/>
        </w:rPr>
        <w:t>甲方</w:t>
      </w:r>
      <w:r>
        <w:rPr>
          <w:rFonts w:ascii="方正楷体_GBK" w:hAnsi="方正楷体_GBK" w:eastAsia="方正楷体_GBK" w:cs="方正楷体_GBK"/>
          <w:color w:val="auto"/>
          <w:sz w:val="32"/>
          <w:szCs w:val="32"/>
        </w:rPr>
        <w:t>：</w:t>
      </w:r>
      <w:r>
        <w:rPr>
          <w:rFonts w:ascii="方正楷体_GBK" w:hAnsi="方正楷体_GBK" w:eastAsia="方正楷体_GBK" w:cs="方正楷体_GBK"/>
          <w:color w:val="auto"/>
          <w:sz w:val="32"/>
          <w:szCs w:val="32"/>
          <w:u w:val="single" w:color="B5082E"/>
        </w:rPr>
        <w:t>广州南沙良田农业发展有限公司</w:t>
      </w:r>
    </w:p>
    <w:p w14:paraId="3DED63B4">
      <w:pPr>
        <w:widowControl w:val="0"/>
        <w:spacing w:before="0" w:after="0" w:line="360" w:lineRule="auto"/>
        <w:ind w:firstLine="640"/>
        <w:jc w:val="both"/>
        <w:rPr>
          <w:color w:val="auto"/>
          <w:sz w:val="32"/>
          <w:szCs w:val="32"/>
        </w:rPr>
      </w:pPr>
      <w:r>
        <w:rPr>
          <w:rFonts w:ascii="方正楷体_GBK" w:hAnsi="方正楷体_GBK" w:eastAsia="方正楷体_GBK" w:cs="方正楷体_GBK"/>
          <w:color w:val="auto"/>
          <w:spacing w:val="26"/>
          <w:sz w:val="32"/>
          <w:szCs w:val="32"/>
        </w:rPr>
        <w:t>住所地</w:t>
      </w:r>
      <w:r>
        <w:rPr>
          <w:rFonts w:ascii="方正楷体_GBK" w:hAnsi="方正楷体_GBK" w:eastAsia="方正楷体_GBK" w:cs="方正楷体_GBK"/>
          <w:color w:val="auto"/>
          <w:spacing w:val="2"/>
          <w:sz w:val="32"/>
          <w:szCs w:val="32"/>
        </w:rPr>
        <w:t>：</w:t>
      </w:r>
      <w:r>
        <w:rPr>
          <w:rFonts w:ascii="方正楷体_GBK" w:hAnsi="方正楷体_GBK" w:eastAsia="方正楷体_GBK" w:cs="方正楷体_GBK"/>
          <w:color w:val="auto"/>
          <w:sz w:val="32"/>
          <w:szCs w:val="32"/>
          <w:u w:val="single" w:color="B5082E"/>
        </w:rPr>
        <w:t>广州市南沙区黄阁镇金茂中二街</w:t>
      </w:r>
      <w:r>
        <w:rPr>
          <w:color w:val="auto"/>
          <w:sz w:val="32"/>
          <w:szCs w:val="32"/>
          <w:u w:val="single" w:color="B5082E"/>
        </w:rPr>
        <w:t>1</w:t>
      </w:r>
      <w:r>
        <w:rPr>
          <w:rFonts w:ascii="方正楷体_GBK" w:hAnsi="方正楷体_GBK" w:eastAsia="方正楷体_GBK" w:cs="方正楷体_GBK"/>
          <w:color w:val="auto"/>
          <w:sz w:val="32"/>
          <w:szCs w:val="32"/>
          <w:u w:val="single" w:color="B5082E"/>
        </w:rPr>
        <w:t>号</w:t>
      </w:r>
      <w:r>
        <w:rPr>
          <w:color w:val="auto"/>
          <w:sz w:val="32"/>
          <w:szCs w:val="32"/>
          <w:u w:val="single" w:color="B5082E"/>
        </w:rPr>
        <w:t>1401</w:t>
      </w:r>
      <w:r>
        <w:rPr>
          <w:rFonts w:ascii="方正楷体_GBK" w:hAnsi="方正楷体_GBK" w:eastAsia="方正楷体_GBK" w:cs="方正楷体_GBK"/>
          <w:color w:val="auto"/>
          <w:sz w:val="32"/>
          <w:szCs w:val="32"/>
          <w:u w:val="single" w:color="B5082E"/>
        </w:rPr>
        <w:t>房</w:t>
      </w:r>
    </w:p>
    <w:p w14:paraId="7B4C2C37">
      <w:pPr>
        <w:widowControl w:val="0"/>
        <w:spacing w:before="0" w:after="0" w:line="360" w:lineRule="auto"/>
        <w:ind w:firstLine="640"/>
        <w:jc w:val="both"/>
        <w:rPr>
          <w:color w:val="auto"/>
          <w:sz w:val="32"/>
          <w:szCs w:val="32"/>
        </w:rPr>
      </w:pPr>
      <w:r>
        <w:rPr>
          <w:rFonts w:ascii="方正楷体_GBK" w:hAnsi="方正楷体_GBK" w:eastAsia="方正楷体_GBK" w:cs="方正楷体_GBK"/>
          <w:color w:val="auto"/>
          <w:spacing w:val="-2"/>
          <w:sz w:val="32"/>
          <w:szCs w:val="32"/>
        </w:rPr>
        <w:t>法定代表人：</w:t>
      </w:r>
      <w:r>
        <w:rPr>
          <w:rFonts w:ascii="方正楷体_GBK" w:hAnsi="方正楷体_GBK" w:eastAsia="方正楷体_GBK" w:cs="方正楷体_GBK"/>
          <w:color w:val="auto"/>
          <w:sz w:val="32"/>
          <w:szCs w:val="32"/>
          <w:u w:val="single" w:color="B5082E"/>
        </w:rPr>
        <w:t>刘建南</w:t>
      </w:r>
    </w:p>
    <w:p w14:paraId="26A79A11">
      <w:pPr>
        <w:widowControl w:val="0"/>
        <w:spacing w:before="0" w:after="120" w:line="360" w:lineRule="auto"/>
        <w:ind w:firstLine="640"/>
        <w:rPr>
          <w:rFonts w:ascii="Times New Roman" w:hAnsi="Times New Roman" w:eastAsia="Times New Roman" w:cs="Times New Roman"/>
          <w:color w:val="auto"/>
          <w:sz w:val="32"/>
          <w:szCs w:val="32"/>
        </w:rPr>
      </w:pPr>
    </w:p>
    <w:p w14:paraId="0628B435">
      <w:pPr>
        <w:widowControl w:val="0"/>
        <w:spacing w:before="0" w:after="120" w:line="360" w:lineRule="auto"/>
        <w:ind w:firstLine="640"/>
        <w:rPr>
          <w:rFonts w:ascii="Times New Roman" w:hAnsi="Times New Roman" w:eastAsia="Times New Roman" w:cs="Times New Roman"/>
          <w:color w:val="auto"/>
          <w:sz w:val="32"/>
          <w:szCs w:val="32"/>
        </w:rPr>
      </w:pPr>
    </w:p>
    <w:p w14:paraId="67A31798">
      <w:pPr>
        <w:widowControl w:val="0"/>
        <w:spacing w:before="0" w:after="0" w:line="360" w:lineRule="auto"/>
        <w:ind w:firstLine="640"/>
        <w:jc w:val="both"/>
        <w:rPr>
          <w:rFonts w:ascii="方正楷体_GBK" w:hAnsi="方正楷体_GBK" w:eastAsia="方正楷体_GBK" w:cs="方正楷体_GBK"/>
          <w:color w:val="auto"/>
          <w:sz w:val="32"/>
          <w:szCs w:val="32"/>
        </w:rPr>
      </w:pPr>
      <w:r>
        <w:rPr>
          <w:rFonts w:ascii="方正楷体_GBK" w:hAnsi="方正楷体_GBK" w:eastAsia="方正楷体_GBK" w:cs="方正楷体_GBK"/>
          <w:color w:val="auto"/>
          <w:spacing w:val="120"/>
          <w:sz w:val="32"/>
          <w:szCs w:val="32"/>
        </w:rPr>
        <w:t>乙方</w:t>
      </w:r>
      <w:r>
        <w:rPr>
          <w:rFonts w:ascii="方正楷体_GBK" w:hAnsi="方正楷体_GBK" w:eastAsia="方正楷体_GBK" w:cs="方正楷体_GBK"/>
          <w:color w:val="auto"/>
          <w:sz w:val="32"/>
          <w:szCs w:val="32"/>
        </w:rPr>
        <w:t>：</w:t>
      </w:r>
    </w:p>
    <w:p w14:paraId="7BCA385E">
      <w:pPr>
        <w:widowControl w:val="0"/>
        <w:spacing w:before="0" w:after="0" w:line="360" w:lineRule="auto"/>
        <w:ind w:firstLine="640"/>
        <w:jc w:val="both"/>
        <w:rPr>
          <w:color w:val="auto"/>
          <w:sz w:val="32"/>
          <w:szCs w:val="32"/>
        </w:rPr>
      </w:pPr>
      <w:r>
        <w:rPr>
          <w:rFonts w:ascii="方正楷体_GBK" w:hAnsi="方正楷体_GBK" w:eastAsia="方正楷体_GBK" w:cs="方正楷体_GBK"/>
          <w:color w:val="auto"/>
          <w:spacing w:val="26"/>
          <w:sz w:val="32"/>
          <w:szCs w:val="32"/>
        </w:rPr>
        <w:t>住所地</w:t>
      </w:r>
      <w:r>
        <w:rPr>
          <w:rFonts w:ascii="方正楷体_GBK" w:hAnsi="方正楷体_GBK" w:eastAsia="方正楷体_GBK" w:cs="方正楷体_GBK"/>
          <w:color w:val="auto"/>
          <w:spacing w:val="2"/>
          <w:sz w:val="32"/>
          <w:szCs w:val="32"/>
        </w:rPr>
        <w:t>：</w:t>
      </w:r>
    </w:p>
    <w:p w14:paraId="50CF2A81">
      <w:pPr>
        <w:widowControl w:val="0"/>
        <w:spacing w:before="0" w:after="0" w:line="360" w:lineRule="auto"/>
        <w:ind w:firstLine="640"/>
        <w:jc w:val="both"/>
        <w:rPr>
          <w:color w:val="auto"/>
          <w:sz w:val="32"/>
          <w:szCs w:val="32"/>
        </w:rPr>
      </w:pPr>
      <w:r>
        <w:rPr>
          <w:rFonts w:ascii="方正楷体_GBK" w:hAnsi="方正楷体_GBK" w:eastAsia="方正楷体_GBK" w:cs="方正楷体_GBK"/>
          <w:color w:val="auto"/>
          <w:spacing w:val="-2"/>
          <w:sz w:val="32"/>
          <w:szCs w:val="32"/>
        </w:rPr>
        <w:t>法定代表人：</w:t>
      </w:r>
    </w:p>
    <w:p w14:paraId="0B004D37">
      <w:pPr>
        <w:rPr>
          <w:color w:val="auto"/>
        </w:rPr>
        <w:sectPr>
          <w:pgMar w:top="1440" w:right="1800" w:bottom="1440" w:left="1800" w:header="720" w:footer="720" w:gutter="0"/>
          <w:cols w:space="720" w:num="1"/>
        </w:sectPr>
      </w:pPr>
    </w:p>
    <w:p w14:paraId="6212DA4C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甲方通过公开招商的方式确定乙方作为稻里・云海项目（一期）的合作运营单位。根据稻里・云海项目（一期）招商公告及相关文件的规定，双方本着平等自愿、互利共赢的原则，订立如下协议，供双方共同恪守：</w:t>
      </w:r>
    </w:p>
    <w:p w14:paraId="1E7D02C9">
      <w:pPr>
        <w:widowControl w:val="0"/>
        <w:spacing w:before="0" w:after="0" w:line="360" w:lineRule="auto"/>
        <w:ind w:firstLine="480"/>
        <w:jc w:val="center"/>
        <w:rPr>
          <w:rFonts w:ascii="Times New Roman" w:hAnsi="Times New Roman" w:eastAsia="Times New Roman" w:cs="Times New Roman"/>
          <w:b/>
          <w:bCs/>
          <w:color w:val="auto"/>
          <w:spacing w:val="-3"/>
          <w:sz w:val="24"/>
          <w:szCs w:val="24"/>
        </w:rPr>
      </w:pPr>
    </w:p>
    <w:p w14:paraId="7C66CF86">
      <w:pPr>
        <w:widowControl w:val="0"/>
        <w:spacing w:before="0" w:after="0" w:line="360" w:lineRule="auto"/>
        <w:ind w:firstLine="480"/>
        <w:jc w:val="center"/>
        <w:rPr>
          <w:color w:val="auto"/>
          <w:sz w:val="24"/>
          <w:szCs w:val="24"/>
        </w:rPr>
      </w:pPr>
      <w:r>
        <w:rPr>
          <w:rFonts w:ascii="宋体" w:hAnsi="宋体" w:eastAsia="宋体" w:cs="宋体"/>
          <w:b/>
          <w:bCs/>
          <w:color w:val="auto"/>
          <w:spacing w:val="-3"/>
          <w:sz w:val="24"/>
          <w:szCs w:val="24"/>
        </w:rPr>
        <w:t>第一条项目基本情况</w:t>
      </w:r>
    </w:p>
    <w:p w14:paraId="13F44863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b/>
          <w:bCs/>
          <w:color w:val="auto"/>
          <w:spacing w:val="-3"/>
          <w:sz w:val="24"/>
          <w:szCs w:val="24"/>
        </w:rPr>
        <w:t>（一）项目地块</w:t>
      </w:r>
    </w:p>
    <w:p w14:paraId="306EBEE7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项目地点：广州南沙大岗新联一村稻里・云海（水稻公园）园区内数控中心一带成熟区域；</w:t>
      </w:r>
    </w:p>
    <w:p w14:paraId="2E8844B6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2.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项目面积：总占地面积约</w:t>
      </w:r>
      <w:r>
        <w:rPr>
          <w:color w:val="auto"/>
          <w:spacing w:val="-3"/>
          <w:sz w:val="24"/>
          <w:szCs w:val="24"/>
        </w:rPr>
        <w:t>10.9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亩，分两大功能区域（餐饮服务区、休闲娱乐区）；</w:t>
      </w:r>
    </w:p>
    <w:p w14:paraId="22AEFE3A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3.</w:t>
      </w:r>
      <w:r>
        <w:rPr>
          <w:rStyle w:val="17"/>
          <w:rFonts w:ascii="宋体" w:hAnsi="宋体" w:eastAsia="宋体" w:cs="宋体"/>
          <w:color w:val="auto"/>
          <w:spacing w:val="-3"/>
          <w:sz w:val="24"/>
          <w:szCs w:val="24"/>
        </w:rPr>
        <w:t>用途：打造“餐饮娱乐</w:t>
      </w:r>
      <w:r>
        <w:rPr>
          <w:rStyle w:val="17"/>
          <w:color w:val="auto"/>
          <w:spacing w:val="-3"/>
          <w:sz w:val="24"/>
          <w:szCs w:val="24"/>
        </w:rPr>
        <w:t>+</w:t>
      </w:r>
      <w:r>
        <w:rPr>
          <w:rStyle w:val="17"/>
          <w:rFonts w:ascii="宋体" w:hAnsi="宋体" w:eastAsia="宋体" w:cs="宋体"/>
          <w:color w:val="auto"/>
          <w:spacing w:val="-3"/>
          <w:sz w:val="24"/>
          <w:szCs w:val="24"/>
        </w:rPr>
        <w:t>景观体验”特色消费场景，涵盖餐饮、自</w:t>
      </w:r>
      <w:r>
        <w:rPr>
          <w:rStyle w:val="17"/>
          <w:rFonts w:hint="eastAsia" w:ascii="宋体" w:hAnsi="宋体" w:eastAsia="宋体" w:cs="宋体"/>
          <w:color w:val="auto"/>
          <w:spacing w:val="-3"/>
          <w:sz w:val="24"/>
          <w:szCs w:val="24"/>
          <w:lang w:val="en-US" w:eastAsia="zh-CN"/>
        </w:rPr>
        <w:t>行</w:t>
      </w:r>
      <w:r>
        <w:rPr>
          <w:rStyle w:val="17"/>
          <w:rFonts w:ascii="宋体" w:hAnsi="宋体" w:eastAsia="宋体" w:cs="宋体"/>
          <w:color w:val="auto"/>
          <w:spacing w:val="-3"/>
          <w:sz w:val="24"/>
          <w:szCs w:val="24"/>
        </w:rPr>
        <w:t>车租赁、露营体验、萌宠互动等经营内容。</w:t>
      </w:r>
    </w:p>
    <w:p w14:paraId="494119BF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</w:p>
    <w:p w14:paraId="02B32210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</w:p>
    <w:p w14:paraId="357EE955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</w:p>
    <w:p w14:paraId="18B44EEB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b/>
          <w:bCs/>
          <w:color w:val="auto"/>
          <w:spacing w:val="-3"/>
          <w:sz w:val="24"/>
          <w:szCs w:val="24"/>
        </w:rPr>
        <w:t>（二）项目目标</w:t>
      </w:r>
    </w:p>
    <w:p w14:paraId="04E66C58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通过双方合作，延长游客停留周期，提升园区品牌吸引力与经济收益，打造集生态、休闲、体验于一体的田园文旅示范项目，实现双方可持续发展。</w:t>
      </w:r>
    </w:p>
    <w:p w14:paraId="76BEA371">
      <w:pPr>
        <w:widowControl w:val="0"/>
        <w:spacing w:before="0" w:after="0" w:line="360" w:lineRule="auto"/>
        <w:ind w:firstLine="480"/>
        <w:jc w:val="both"/>
        <w:rPr>
          <w:rFonts w:ascii="Times New Roman" w:hAnsi="Times New Roman" w:eastAsia="Times New Roman" w:cs="Times New Roman"/>
          <w:b/>
          <w:bCs/>
          <w:color w:val="auto"/>
          <w:spacing w:val="-3"/>
          <w:sz w:val="24"/>
          <w:szCs w:val="24"/>
        </w:rPr>
      </w:pPr>
    </w:p>
    <w:p w14:paraId="5BC768E8">
      <w:pPr>
        <w:widowControl w:val="0"/>
        <w:spacing w:before="0" w:after="0" w:line="360" w:lineRule="auto"/>
        <w:ind w:firstLine="480"/>
        <w:jc w:val="both"/>
        <w:rPr>
          <w:rFonts w:ascii="Times New Roman" w:hAnsi="Times New Roman" w:eastAsia="Times New Roman" w:cs="Times New Roman"/>
          <w:b/>
          <w:bCs/>
          <w:color w:val="auto"/>
          <w:spacing w:val="-3"/>
          <w:sz w:val="24"/>
          <w:szCs w:val="24"/>
        </w:rPr>
      </w:pPr>
    </w:p>
    <w:p w14:paraId="0274C689">
      <w:pPr>
        <w:widowControl w:val="0"/>
        <w:spacing w:before="0" w:after="0" w:line="360" w:lineRule="auto"/>
        <w:jc w:val="center"/>
        <w:rPr>
          <w:rFonts w:ascii="Times New Roman" w:hAnsi="Times New Roman" w:eastAsia="Times New Roman" w:cs="Times New Roman"/>
          <w:b/>
          <w:bCs/>
          <w:color w:val="auto"/>
          <w:spacing w:val="-3"/>
          <w:sz w:val="24"/>
          <w:szCs w:val="24"/>
        </w:rPr>
      </w:pPr>
    </w:p>
    <w:p w14:paraId="734DB19D">
      <w:pPr>
        <w:widowControl w:val="0"/>
        <w:spacing w:before="0" w:after="0" w:line="360" w:lineRule="auto"/>
        <w:jc w:val="center"/>
        <w:rPr>
          <w:color w:val="auto"/>
          <w:sz w:val="24"/>
          <w:szCs w:val="24"/>
        </w:rPr>
      </w:pPr>
      <w:r>
        <w:rPr>
          <w:rFonts w:ascii="宋体" w:hAnsi="宋体" w:eastAsia="宋体" w:cs="宋体"/>
          <w:b/>
          <w:bCs/>
          <w:color w:val="auto"/>
          <w:spacing w:val="-3"/>
          <w:sz w:val="24"/>
          <w:szCs w:val="24"/>
        </w:rPr>
        <w:t>第二条项目合作模式</w:t>
      </w:r>
    </w:p>
    <w:p w14:paraId="3608F008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（一）甲方责任</w:t>
      </w:r>
    </w:p>
    <w:p w14:paraId="6D81F018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提供项目所需场地，按现状移交并提供水电接口；</w:t>
      </w:r>
    </w:p>
    <w:p w14:paraId="7FA992FD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2.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负责园区公共区域的安保、清洁与绿化维护；</w:t>
      </w:r>
    </w:p>
    <w:p w14:paraId="25D55CAF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3.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协助乙方办理经营所需证照，协调文旅、市场监管等部门完成审批；</w:t>
      </w:r>
    </w:p>
    <w:p w14:paraId="03C23ABF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4.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通过官网、公众号等渠道进行营销宣传，推出组合套餐产品，邀请乙方参与园区节假日活动，共享客流资源；</w:t>
      </w:r>
    </w:p>
    <w:p w14:paraId="417874BE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5.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对乙方的建设、运营活动进行监督管理，审核乙方运营方案及价格体系。</w:t>
      </w:r>
    </w:p>
    <w:p w14:paraId="0FCE09B5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（二）乙方责任</w:t>
      </w:r>
    </w:p>
    <w:p w14:paraId="45125BAE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承担全部建设成本，包括榕树下区块搭建、公共区域（露台、庭院）装饰、设施设备及易耗品采购等，且建设需严格遵循生态优先（选用环保材料，预留生态缓冲带）、风格统一（契合“稻里・云海”主题，融入农耕元素）的原则，乙方建设前的建设方案需先提交给甲方确认；如乙方的建设、运营或项目活动需要报相关政府部门审批，乙方应自行完成所有审批手续后方能运营，否则由此产生的一切责任及损失由乙方全部承担，乙方还应承担甲方由此所遭受的全部损失。</w:t>
      </w:r>
    </w:p>
    <w:p w14:paraId="31B4B1CF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2.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承担运营期间全部成本，包括水电费（按园区商业标准缴纳）、员工工资、采购费、设施维修费、布草清洗费等，优先采购本地农产品（如良田鲜米、周边乡村蔬菜用于餐饮）；</w:t>
      </w:r>
    </w:p>
    <w:p w14:paraId="216ED751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3.</w:t>
      </w:r>
      <w:r>
        <w:rPr>
          <w:rStyle w:val="18"/>
          <w:rFonts w:ascii="宋体" w:hAnsi="宋体" w:eastAsia="宋体" w:cs="宋体"/>
          <w:color w:val="auto"/>
          <w:spacing w:val="-3"/>
          <w:sz w:val="24"/>
          <w:szCs w:val="24"/>
        </w:rPr>
        <w:t>负责项目整体运营及收款工作，使用双方选定的智能管理系统，接受甲方实时查询及财务核查；如甲方需要，则收款方需转移至甲方，甲方收款后双方再行结算，乙方需无条件配合甲方</w:t>
      </w:r>
      <w:r>
        <w:rPr>
          <w:rFonts w:ascii="宋体" w:hAnsi="宋体" w:eastAsia="宋体" w:cs="宋体"/>
          <w:color w:val="auto"/>
          <w:sz w:val="24"/>
          <w:szCs w:val="24"/>
        </w:rPr>
        <w:t>，不得以任何理由拒绝或拖延</w:t>
      </w:r>
      <w:r>
        <w:rPr>
          <w:rStyle w:val="18"/>
          <w:rFonts w:ascii="宋体" w:hAnsi="宋体" w:eastAsia="宋体" w:cs="宋体"/>
          <w:color w:val="auto"/>
          <w:spacing w:val="-3"/>
          <w:sz w:val="24"/>
          <w:szCs w:val="24"/>
        </w:rPr>
        <w:t>；</w:t>
      </w:r>
    </w:p>
    <w:p w14:paraId="5B30C3EA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4.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提供“田园餐饮</w:t>
      </w:r>
      <w:r>
        <w:rPr>
          <w:color w:val="auto"/>
          <w:spacing w:val="-3"/>
          <w:sz w:val="24"/>
          <w:szCs w:val="24"/>
        </w:rPr>
        <w:t>+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休闲体验”服务，定期开展街头表演、亲子互动、稻田篝火等活动；</w:t>
      </w:r>
    </w:p>
    <w:p w14:paraId="607027E1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5.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严格遵守生态保护、安全保障、卫生管理等相关规定，配合甲方开展服务质量调研，及时处理游客投诉并及时处理、整改，不得影响甲方声誉、商誉。</w:t>
      </w:r>
    </w:p>
    <w:p w14:paraId="62152F5F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6.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因乙方运营过程中引发的一切事故均由乙方负责，并妥善处理，乙方承担全部责任，如由此造成甲方损失的，乙方应承担全额赔偿责任。</w:t>
      </w:r>
    </w:p>
    <w:p w14:paraId="2657DF32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</w:p>
    <w:p w14:paraId="3C998046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</w:p>
    <w:p w14:paraId="1A821C10">
      <w:pPr>
        <w:widowControl w:val="0"/>
        <w:spacing w:before="0" w:after="0" w:line="360" w:lineRule="auto"/>
        <w:ind w:firstLine="468"/>
        <w:jc w:val="center"/>
        <w:rPr>
          <w:rFonts w:ascii="Times New Roman" w:hAnsi="Times New Roman" w:eastAsia="Times New Roman" w:cs="Times New Roman"/>
          <w:b/>
          <w:bCs/>
          <w:color w:val="auto"/>
          <w:spacing w:val="-3"/>
          <w:sz w:val="24"/>
          <w:szCs w:val="24"/>
        </w:rPr>
      </w:pPr>
    </w:p>
    <w:p w14:paraId="349A5F8A">
      <w:pPr>
        <w:widowControl w:val="0"/>
        <w:spacing w:before="0" w:after="0" w:line="360" w:lineRule="auto"/>
        <w:ind w:firstLine="480"/>
        <w:jc w:val="center"/>
        <w:rPr>
          <w:color w:val="auto"/>
          <w:sz w:val="24"/>
          <w:szCs w:val="24"/>
        </w:rPr>
      </w:pPr>
      <w:r>
        <w:rPr>
          <w:rFonts w:ascii="宋体" w:hAnsi="宋体" w:eastAsia="宋体" w:cs="宋体"/>
          <w:b/>
          <w:bCs/>
          <w:color w:val="auto"/>
          <w:spacing w:val="-3"/>
          <w:sz w:val="24"/>
          <w:szCs w:val="24"/>
        </w:rPr>
        <w:t>第三条移交方式</w:t>
      </w:r>
    </w:p>
    <w:p w14:paraId="74FA0276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（一）场地交付时间</w:t>
      </w:r>
    </w:p>
    <w:p w14:paraId="4E6169A8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双方确定场地实际交付日期为</w:t>
      </w:r>
      <w:r>
        <w:rPr>
          <w:color w:val="auto"/>
          <w:spacing w:val="-3"/>
          <w:sz w:val="24"/>
          <w:szCs w:val="24"/>
        </w:rPr>
        <w:t>____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年</w:t>
      </w:r>
      <w:r>
        <w:rPr>
          <w:color w:val="auto"/>
          <w:spacing w:val="-3"/>
          <w:sz w:val="24"/>
          <w:szCs w:val="24"/>
        </w:rPr>
        <w:t>____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月</w:t>
      </w:r>
      <w:r>
        <w:rPr>
          <w:color w:val="auto"/>
          <w:spacing w:val="-3"/>
          <w:sz w:val="24"/>
          <w:szCs w:val="24"/>
        </w:rPr>
        <w:t>____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日，该日期即为计算保底收益起始日，合作起止时间和相关费用计算均以该日期为准。</w:t>
      </w:r>
    </w:p>
    <w:p w14:paraId="693C6547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（二）交付要求</w:t>
      </w:r>
    </w:p>
    <w:p w14:paraId="62A6F23C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2.</w:t>
      </w:r>
      <w:r>
        <w:rPr>
          <w:rStyle w:val="19"/>
          <w:rFonts w:ascii="宋体" w:hAnsi="宋体" w:eastAsia="宋体" w:cs="宋体"/>
          <w:color w:val="auto"/>
          <w:spacing w:val="-3"/>
          <w:sz w:val="24"/>
          <w:szCs w:val="24"/>
        </w:rPr>
        <w:t>乙方应在本合同签订之日起</w:t>
      </w:r>
      <w:r>
        <w:rPr>
          <w:rStyle w:val="19"/>
          <w:color w:val="auto"/>
          <w:spacing w:val="-3"/>
          <w:sz w:val="24"/>
          <w:szCs w:val="24"/>
        </w:rPr>
        <w:t>10</w:t>
      </w:r>
      <w:r>
        <w:rPr>
          <w:rStyle w:val="19"/>
          <w:rFonts w:ascii="宋体" w:hAnsi="宋体" w:eastAsia="宋体" w:cs="宋体"/>
          <w:color w:val="auto"/>
          <w:spacing w:val="-3"/>
          <w:sz w:val="24"/>
          <w:szCs w:val="24"/>
        </w:rPr>
        <w:t>个工作日内缴交履约保证金等费用，</w:t>
      </w:r>
      <w:r>
        <w:rPr>
          <w:rFonts w:ascii="宋体" w:hAnsi="宋体" w:eastAsia="宋体" w:cs="宋体"/>
          <w:color w:val="auto"/>
          <w:sz w:val="24"/>
          <w:szCs w:val="24"/>
        </w:rPr>
        <w:t>保证金数额不得低于首年保底收益的30%，</w:t>
      </w:r>
      <w:r>
        <w:rPr>
          <w:rStyle w:val="19"/>
          <w:rFonts w:ascii="宋体" w:hAnsi="宋体" w:eastAsia="宋体" w:cs="宋体"/>
          <w:color w:val="auto"/>
          <w:spacing w:val="-3"/>
          <w:sz w:val="24"/>
          <w:szCs w:val="24"/>
        </w:rPr>
        <w:t>否则甲方有权拒绝交付场地，并有权按本合同签订之日开始计算相关费用；</w:t>
      </w:r>
    </w:p>
    <w:p w14:paraId="2E044E54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3.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若乙方未按约定办理场地交接手续，视为甲方已于实际交付之日完成交付，相关费用的起、讫日期维持不变，乙方应从计费日开始按合同约定支付相关费用；</w:t>
      </w:r>
    </w:p>
    <w:p w14:paraId="56672D7E">
      <w:pPr>
        <w:widowControl/>
        <w:spacing w:before="0" w:after="0" w:line="240" w:lineRule="auto"/>
        <w:ind w:firstLine="0"/>
        <w:jc w:val="left"/>
        <w:rPr>
          <w:rFonts w:ascii="Times New Roman" w:hAnsi="Times New Roman" w:eastAsia="Times New Roman" w:cs="Times New Roman"/>
          <w:color w:val="auto"/>
          <w:spacing w:val="-3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4.</w:t>
      </w:r>
      <w:r>
        <w:rPr>
          <w:rStyle w:val="20"/>
          <w:rFonts w:ascii="宋体" w:hAnsi="宋体" w:eastAsia="宋体" w:cs="宋体"/>
          <w:color w:val="auto"/>
          <w:spacing w:val="-3"/>
          <w:sz w:val="24"/>
          <w:szCs w:val="24"/>
        </w:rPr>
        <w:t>在甲方书面告知乙方场地交付日期后，如因甲方原因延迟交付场地的，计费日相应延后；若延迟超过</w:t>
      </w:r>
      <w:r>
        <w:rPr>
          <w:rStyle w:val="20"/>
          <w:color w:val="auto"/>
          <w:spacing w:val="-3"/>
          <w:sz w:val="24"/>
          <w:szCs w:val="24"/>
        </w:rPr>
        <w:t>30</w:t>
      </w:r>
      <w:r>
        <w:rPr>
          <w:rStyle w:val="20"/>
          <w:rFonts w:ascii="宋体" w:hAnsi="宋体" w:eastAsia="宋体" w:cs="宋体"/>
          <w:color w:val="auto"/>
          <w:spacing w:val="-3"/>
          <w:sz w:val="24"/>
          <w:szCs w:val="24"/>
        </w:rPr>
        <w:t>日的，</w:t>
      </w:r>
      <w:r>
        <w:rPr>
          <w:rStyle w:val="20"/>
          <w:rFonts w:hint="eastAsia" w:ascii="宋体" w:hAnsi="宋体" w:eastAsia="宋体" w:cs="宋体"/>
          <w:color w:val="auto"/>
          <w:spacing w:val="-3"/>
          <w:sz w:val="24"/>
          <w:szCs w:val="24"/>
          <w:lang w:val="en-US" w:eastAsia="zh-CN"/>
        </w:rPr>
        <w:t>乙</w:t>
      </w:r>
      <w:r>
        <w:rPr>
          <w:rStyle w:val="20"/>
          <w:rFonts w:ascii="宋体" w:hAnsi="宋体" w:eastAsia="宋体" w:cs="宋体"/>
          <w:color w:val="auto"/>
          <w:spacing w:val="-3"/>
          <w:sz w:val="24"/>
          <w:szCs w:val="24"/>
        </w:rPr>
        <w:t>方</w:t>
      </w:r>
      <w:r>
        <w:rPr>
          <w:rStyle w:val="20"/>
          <w:rFonts w:hint="eastAsia" w:ascii="宋体" w:hAnsi="宋体" w:eastAsia="宋体" w:cs="宋体"/>
          <w:color w:val="auto"/>
          <w:spacing w:val="-3"/>
          <w:sz w:val="24"/>
          <w:szCs w:val="24"/>
          <w:lang w:val="en-US" w:eastAsia="zh-CN"/>
        </w:rPr>
        <w:t>有权</w:t>
      </w:r>
      <w:r>
        <w:rPr>
          <w:rStyle w:val="20"/>
          <w:rFonts w:ascii="宋体" w:hAnsi="宋体" w:eastAsia="宋体" w:cs="宋体"/>
          <w:color w:val="auto"/>
          <w:spacing w:val="-3"/>
          <w:sz w:val="24"/>
          <w:szCs w:val="24"/>
        </w:rPr>
        <w:t>解除合同，甲方</w:t>
      </w:r>
      <w:r>
        <w:rPr>
          <w:rFonts w:ascii="宋体" w:hAnsi="宋体" w:eastAsia="宋体" w:cs="宋体"/>
          <w:color w:val="auto"/>
          <w:sz w:val="24"/>
          <w:szCs w:val="24"/>
        </w:rPr>
        <w:t>除无息退还乙方已缴费用外，另按首年日保底收益的200%支付资金占用利息。</w:t>
      </w:r>
    </w:p>
    <w:p w14:paraId="2263E0AB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</w:p>
    <w:p w14:paraId="51E7E34A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</w:p>
    <w:p w14:paraId="67C1C1DF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</w:p>
    <w:p w14:paraId="38017003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</w:p>
    <w:p w14:paraId="5C8DBAF9">
      <w:pPr>
        <w:widowControl w:val="0"/>
        <w:spacing w:before="0" w:after="0" w:line="360" w:lineRule="auto"/>
        <w:ind w:firstLine="468"/>
        <w:jc w:val="center"/>
        <w:rPr>
          <w:rFonts w:ascii="Times New Roman" w:hAnsi="Times New Roman" w:eastAsia="Times New Roman" w:cs="Times New Roman"/>
          <w:b/>
          <w:bCs/>
          <w:color w:val="auto"/>
          <w:spacing w:val="-3"/>
          <w:sz w:val="24"/>
          <w:szCs w:val="24"/>
        </w:rPr>
      </w:pPr>
    </w:p>
    <w:p w14:paraId="00BD9605">
      <w:pPr>
        <w:widowControl w:val="0"/>
        <w:spacing w:before="0" w:after="0" w:line="360" w:lineRule="auto"/>
        <w:ind w:firstLine="480"/>
        <w:jc w:val="center"/>
        <w:rPr>
          <w:color w:val="auto"/>
          <w:sz w:val="24"/>
          <w:szCs w:val="24"/>
        </w:rPr>
      </w:pPr>
      <w:r>
        <w:rPr>
          <w:rFonts w:ascii="宋体" w:hAnsi="宋体" w:eastAsia="宋体" w:cs="宋体"/>
          <w:b/>
          <w:bCs/>
          <w:color w:val="auto"/>
          <w:spacing w:val="-3"/>
          <w:sz w:val="24"/>
          <w:szCs w:val="24"/>
        </w:rPr>
        <w:t>第四条合作实施方案</w:t>
      </w:r>
    </w:p>
    <w:p w14:paraId="0410EB74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b/>
          <w:bCs/>
          <w:color w:val="auto"/>
          <w:spacing w:val="-3"/>
          <w:sz w:val="24"/>
          <w:szCs w:val="24"/>
        </w:rPr>
        <w:t>（一）合作年限</w:t>
      </w:r>
    </w:p>
    <w:p w14:paraId="1040DE2E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合作期为</w:t>
      </w:r>
      <w:r>
        <w:rPr>
          <w:color w:val="auto"/>
          <w:spacing w:val="-3"/>
          <w:sz w:val="24"/>
          <w:szCs w:val="24"/>
        </w:rPr>
        <w:t>3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年，自计费日起计算。期满后甲方重新招商，乙方在同等条件下享有优先合作权。</w:t>
      </w:r>
    </w:p>
    <w:p w14:paraId="3BF812AB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b/>
          <w:bCs/>
          <w:color w:val="auto"/>
          <w:spacing w:val="-3"/>
          <w:sz w:val="24"/>
          <w:szCs w:val="24"/>
        </w:rPr>
        <w:t>（二）收益分配与支付</w:t>
      </w:r>
    </w:p>
    <w:p w14:paraId="36352BAD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保底收益：乙方每年支付保底收益</w:t>
      </w:r>
      <w:r>
        <w:rPr>
          <w:rFonts w:ascii="宋体" w:hAnsi="宋体" w:eastAsia="宋体" w:cs="宋体"/>
          <w:color w:val="auto"/>
          <w:spacing w:val="-3"/>
          <w:sz w:val="24"/>
          <w:szCs w:val="24"/>
          <w:u w:val="single"/>
        </w:rPr>
        <w:t>     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元；</w:t>
      </w:r>
    </w:p>
    <w:p w14:paraId="49EB265D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2.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额外分成收益：如乙方当年营业收入超过</w:t>
      </w:r>
      <w:r>
        <w:rPr>
          <w:rFonts w:ascii="宋体" w:hAnsi="宋体" w:eastAsia="宋体" w:cs="宋体"/>
          <w:color w:val="auto"/>
          <w:spacing w:val="-3"/>
          <w:sz w:val="24"/>
          <w:szCs w:val="24"/>
          <w:u w:val="single"/>
        </w:rPr>
        <w:t>     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万元，超出部分按</w:t>
      </w:r>
      <w:r>
        <w:rPr>
          <w:rFonts w:ascii="宋体" w:hAnsi="宋体" w:eastAsia="宋体" w:cs="宋体"/>
          <w:color w:val="auto"/>
          <w:spacing w:val="-3"/>
          <w:sz w:val="24"/>
          <w:szCs w:val="24"/>
          <w:u w:val="single"/>
        </w:rPr>
        <w:t>     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的比例向甲方支付额外分成收益；</w:t>
      </w:r>
    </w:p>
    <w:p w14:paraId="42404321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3.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结算方式：按季度结算，乙方应于每季度第</w:t>
      </w:r>
      <w:r>
        <w:rPr>
          <w:color w:val="auto"/>
          <w:spacing w:val="-3"/>
          <w:sz w:val="24"/>
          <w:szCs w:val="24"/>
        </w:rPr>
        <w:t>1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个月的</w:t>
      </w:r>
      <w:r>
        <w:rPr>
          <w:color w:val="auto"/>
          <w:spacing w:val="-3"/>
          <w:sz w:val="24"/>
          <w:szCs w:val="24"/>
        </w:rPr>
        <w:t>15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日前提交上一季度营收报表，并按</w:t>
      </w:r>
      <w:r>
        <w:rPr>
          <w:rFonts w:ascii="宋体" w:hAnsi="宋体" w:eastAsia="宋体" w:cs="宋体"/>
          <w:color w:val="auto"/>
          <w:spacing w:val="-3"/>
          <w:sz w:val="24"/>
          <w:szCs w:val="24"/>
          <w:u w:val="single"/>
        </w:rPr>
        <w:t>     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元保底金额足额转账；第四季度结算时，按</w:t>
      </w:r>
      <w:r>
        <w:rPr>
          <w:rFonts w:ascii="宋体" w:hAnsi="宋体" w:eastAsia="宋体" w:cs="宋体"/>
          <w:color w:val="auto"/>
          <w:spacing w:val="-3"/>
          <w:sz w:val="24"/>
          <w:szCs w:val="24"/>
          <w:u w:val="single"/>
        </w:rPr>
        <w:t>     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元保底收益</w:t>
      </w:r>
      <w:r>
        <w:rPr>
          <w:color w:val="auto"/>
          <w:spacing w:val="-3"/>
          <w:sz w:val="24"/>
          <w:szCs w:val="24"/>
        </w:rPr>
        <w:t>+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超出部分分成收益（如有）结算总金额（如年收入未达万元则仅支付保底收益）；</w:t>
      </w:r>
    </w:p>
    <w:p w14:paraId="5F43C106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4.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数据核对：季度结算前，双方通过智能管理系统共同核对运营数据，确保数据真实准确。</w:t>
      </w:r>
    </w:p>
    <w:p w14:paraId="67F62003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b/>
          <w:bCs/>
          <w:color w:val="auto"/>
          <w:spacing w:val="-3"/>
          <w:sz w:val="24"/>
          <w:szCs w:val="24"/>
        </w:rPr>
        <w:t>（三）履约保证金约定</w:t>
      </w:r>
    </w:p>
    <w:p w14:paraId="4DE8060A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签订合同后</w:t>
      </w:r>
      <w:r>
        <w:rPr>
          <w:color w:val="auto"/>
          <w:spacing w:val="-3"/>
          <w:sz w:val="24"/>
          <w:szCs w:val="24"/>
        </w:rPr>
        <w:t>10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个工作日内，乙方应向甲方足额缴纳履约保证金</w:t>
      </w:r>
      <w:r>
        <w:rPr>
          <w:rFonts w:ascii="宋体" w:hAnsi="宋体" w:eastAsia="宋体" w:cs="宋体"/>
          <w:color w:val="auto"/>
          <w:spacing w:val="-3"/>
          <w:sz w:val="24"/>
          <w:szCs w:val="24"/>
          <w:u w:val="single"/>
        </w:rPr>
        <w:t>     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元（不低于首年保底收益</w:t>
      </w:r>
      <w:r>
        <w:rPr>
          <w:rFonts w:ascii="宋体" w:hAnsi="宋体" w:eastAsia="宋体" w:cs="宋体"/>
          <w:color w:val="auto"/>
          <w:spacing w:val="-3"/>
          <w:sz w:val="24"/>
          <w:szCs w:val="24"/>
          <w:u w:val="single"/>
        </w:rPr>
        <w:t>     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元的</w:t>
      </w:r>
      <w:r>
        <w:rPr>
          <w:color w:val="auto"/>
          <w:spacing w:val="-3"/>
          <w:sz w:val="24"/>
          <w:szCs w:val="24"/>
        </w:rPr>
        <w:t>30%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）；</w:t>
      </w:r>
    </w:p>
    <w:p w14:paraId="43D58ECC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2.</w:t>
      </w:r>
      <w:r>
        <w:rPr>
          <w:rStyle w:val="21"/>
          <w:rFonts w:ascii="宋体" w:hAnsi="宋体" w:eastAsia="宋体" w:cs="宋体"/>
          <w:color w:val="auto"/>
          <w:spacing w:val="-3"/>
          <w:sz w:val="24"/>
          <w:szCs w:val="24"/>
        </w:rPr>
        <w:t>合作期满或合同解除之日起</w:t>
      </w:r>
      <w:r>
        <w:rPr>
          <w:rStyle w:val="21"/>
          <w:color w:val="auto"/>
          <w:spacing w:val="-3"/>
          <w:sz w:val="24"/>
          <w:szCs w:val="24"/>
        </w:rPr>
        <w:t>10</w:t>
      </w:r>
      <w:r>
        <w:rPr>
          <w:rStyle w:val="21"/>
          <w:rFonts w:ascii="宋体" w:hAnsi="宋体" w:eastAsia="宋体" w:cs="宋体"/>
          <w:color w:val="auto"/>
          <w:spacing w:val="-3"/>
          <w:sz w:val="24"/>
          <w:szCs w:val="24"/>
        </w:rPr>
        <w:t>日内，乙方缴清相关费用（包括保底收益、额外分成、违约赔偿等应由乙方承担的费用）并按期完成资产处置后，甲方应在</w:t>
      </w:r>
      <w:r>
        <w:rPr>
          <w:rStyle w:val="21"/>
          <w:color w:val="auto"/>
          <w:spacing w:val="-3"/>
          <w:sz w:val="24"/>
          <w:szCs w:val="24"/>
        </w:rPr>
        <w:t>10</w:t>
      </w:r>
      <w:r>
        <w:rPr>
          <w:rStyle w:val="21"/>
          <w:rFonts w:ascii="宋体" w:hAnsi="宋体" w:eastAsia="宋体" w:cs="宋体"/>
          <w:color w:val="auto"/>
          <w:spacing w:val="-3"/>
          <w:sz w:val="24"/>
          <w:szCs w:val="24"/>
        </w:rPr>
        <w:t>个工作日内将保证金无息返还给乙方；</w:t>
      </w:r>
    </w:p>
    <w:p w14:paraId="0712DA4F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3.</w:t>
      </w:r>
      <w:r>
        <w:rPr>
          <w:rStyle w:val="22"/>
          <w:rFonts w:ascii="宋体" w:hAnsi="宋体" w:eastAsia="宋体" w:cs="宋体"/>
          <w:color w:val="auto"/>
          <w:spacing w:val="-3"/>
          <w:sz w:val="24"/>
          <w:szCs w:val="24"/>
        </w:rPr>
        <w:t>乙方缴清应付甲方的各类款项后，若甲方逾期退还保证金的，从逾期之日起按日按拖欠金额的万分之三向乙方支付利息；</w:t>
      </w:r>
    </w:p>
    <w:p w14:paraId="08465EA7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4.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如乙方未按合同约定支付相关费用或存在违约行为，甲方有权直接在履约保证金中予以抵扣，剩余部分返还给乙方；不足以抵扣的，乙方应按甲方要求予以补足。</w:t>
      </w:r>
    </w:p>
    <w:p w14:paraId="15C77DE1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（四）营收数据管理约定</w:t>
      </w:r>
    </w:p>
    <w:p w14:paraId="4F1708EA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双方选定统一的智能管理系统用于营收数据记录、统计及管理，该系统数据由双方共同监管，甲方拥有实时查询、核查权限；</w:t>
      </w:r>
    </w:p>
    <w:p w14:paraId="72B76796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2.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乙方所有经营收入必须通过该智能管理系统收取，不得私设现金、个人微信 </w:t>
      </w:r>
      <w:r>
        <w:rPr>
          <w:color w:val="auto"/>
          <w:spacing w:val="-3"/>
          <w:sz w:val="24"/>
          <w:szCs w:val="24"/>
        </w:rPr>
        <w:t>/ 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支付宝等收款渠道绕开系统收款；</w:t>
      </w:r>
    </w:p>
    <w:p w14:paraId="2B54C2F8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3.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乙方应按甲方要求按时、如实报送运营数据（如月度营收、客群结构、消费情况等），确保数据真实、完整，不得虚报、隐瞒；</w:t>
      </w:r>
    </w:p>
    <w:p w14:paraId="13BC7324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4.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甲方有权对乙方营收数据进行核查，乙方应积极配合，提供相关财务凭证、台账等资料，不得拒绝或阻挠；</w:t>
      </w:r>
    </w:p>
    <w:p w14:paraId="0FA28E67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5.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若乙方违反上述营收数据管理约定，视为严重违约，甲方有权按本协议第六条相关约定追究乙方违约责任。</w:t>
      </w:r>
    </w:p>
    <w:p w14:paraId="0365A6F6">
      <w:pPr>
        <w:widowControl w:val="0"/>
        <w:spacing w:before="0" w:after="0" w:line="360" w:lineRule="auto"/>
        <w:ind w:firstLine="480"/>
        <w:jc w:val="center"/>
        <w:rPr>
          <w:rFonts w:ascii="Times New Roman" w:hAnsi="Times New Roman" w:eastAsia="Times New Roman" w:cs="Times New Roman"/>
          <w:b/>
          <w:bCs/>
          <w:color w:val="auto"/>
          <w:spacing w:val="-3"/>
          <w:sz w:val="24"/>
          <w:szCs w:val="24"/>
        </w:rPr>
      </w:pPr>
    </w:p>
    <w:p w14:paraId="446A79C1">
      <w:pPr>
        <w:widowControl w:val="0"/>
        <w:spacing w:before="0" w:after="0" w:line="360" w:lineRule="auto"/>
        <w:ind w:firstLine="480"/>
        <w:jc w:val="center"/>
        <w:rPr>
          <w:rFonts w:ascii="Times New Roman" w:hAnsi="Times New Roman" w:eastAsia="Times New Roman" w:cs="Times New Roman"/>
          <w:b/>
          <w:bCs/>
          <w:color w:val="auto"/>
          <w:spacing w:val="-3"/>
          <w:sz w:val="24"/>
          <w:szCs w:val="24"/>
        </w:rPr>
      </w:pPr>
    </w:p>
    <w:p w14:paraId="4FFE3DF6">
      <w:pPr>
        <w:widowControl w:val="0"/>
        <w:spacing w:before="0" w:after="0" w:line="360" w:lineRule="auto"/>
        <w:ind w:firstLine="480"/>
        <w:jc w:val="center"/>
        <w:rPr>
          <w:color w:val="auto"/>
          <w:sz w:val="24"/>
          <w:szCs w:val="24"/>
        </w:rPr>
      </w:pPr>
      <w:r>
        <w:rPr>
          <w:rFonts w:ascii="宋体" w:hAnsi="宋体" w:eastAsia="宋体" w:cs="宋体"/>
          <w:b/>
          <w:bCs/>
          <w:color w:val="auto"/>
          <w:spacing w:val="-3"/>
          <w:sz w:val="24"/>
          <w:szCs w:val="24"/>
        </w:rPr>
        <w:t>第五条双方主要权利与义务</w:t>
      </w:r>
    </w:p>
    <w:p w14:paraId="6389AB3C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（一）甲方权利与义务</w:t>
      </w:r>
    </w:p>
    <w:p w14:paraId="34E5BECA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有权对乙方的建设进度、运营质量、服务标准、安全管理等情况进行监督检查，对乙方违反合同约定的行为提出整改要求；</w:t>
      </w:r>
    </w:p>
    <w:p w14:paraId="0E14FDCA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2.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有权要求乙方按约定支付保底收益、额外分成收益及其他应付费用，有权核查乙方营收数据及相关财务凭证；</w:t>
      </w:r>
    </w:p>
    <w:p w14:paraId="7A5FF4AD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3.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按照合同约定提供场地及基础配套服务，协助乙方办理相关证照，履行营销联动义务；</w:t>
      </w:r>
    </w:p>
    <w:p w14:paraId="2F805E7C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4.</w:t>
      </w:r>
      <w:r>
        <w:rPr>
          <w:rFonts w:hint="eastAsia" w:eastAsia="宋体"/>
          <w:color w:val="auto"/>
          <w:spacing w:val="-3"/>
          <w:sz w:val="24"/>
          <w:szCs w:val="24"/>
          <w:lang w:val="en-US" w:eastAsia="zh-CN"/>
        </w:rPr>
        <w:t>甲方</w:t>
      </w:r>
      <w:r>
        <w:rPr>
          <w:rStyle w:val="23"/>
          <w:rFonts w:ascii="宋体" w:hAnsi="宋体" w:eastAsia="宋体" w:cs="宋体"/>
          <w:color w:val="auto"/>
          <w:spacing w:val="-3"/>
          <w:sz w:val="24"/>
          <w:szCs w:val="24"/>
        </w:rPr>
        <w:t>不得无故干涉乙方正常的合法经营活动，不得擅自变更合同约定的合作条件。</w:t>
      </w:r>
      <w:r>
        <w:rPr>
          <w:rFonts w:ascii="宋体" w:hAnsi="宋体" w:eastAsia="宋体" w:cs="宋体"/>
          <w:color w:val="auto"/>
          <w:sz w:val="24"/>
          <w:szCs w:val="24"/>
        </w:rPr>
        <w:t>但因乙方存在违约行为、重大安全隐患或违反法律法规情形时，或因园区整体运营需要，甲方有权在合理范围内调整乙方经营活动。</w:t>
      </w:r>
    </w:p>
    <w:p w14:paraId="43457CDC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（二）乙方权利与义务</w:t>
      </w:r>
    </w:p>
    <w:p w14:paraId="6CCE6012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在合同约定的范围内享有自主经营权，有权要求甲方提</w:t>
      </w:r>
      <w:bookmarkStart w:id="0" w:name="_GoBack"/>
      <w:bookmarkEnd w:id="0"/>
      <w:r>
        <w:rPr>
          <w:rFonts w:ascii="宋体" w:hAnsi="宋体" w:eastAsia="宋体" w:cs="宋体"/>
          <w:color w:val="auto"/>
          <w:spacing w:val="-3"/>
          <w:sz w:val="24"/>
          <w:szCs w:val="24"/>
        </w:rPr>
        <w:t>供合同约定的场地及配套服务；</w:t>
      </w:r>
    </w:p>
    <w:p w14:paraId="740B89D3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2.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有权参与甲方组织的营销活动，共享园区客流资源，有权就园区运营事宜向甲方提出合理建议；</w:t>
      </w:r>
    </w:p>
    <w:p w14:paraId="7C040FAA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3.</w:t>
      </w:r>
      <w:r>
        <w:rPr>
          <w:rStyle w:val="24"/>
          <w:rFonts w:ascii="宋体" w:hAnsi="宋体" w:eastAsia="宋体" w:cs="宋体"/>
          <w:color w:val="auto"/>
          <w:spacing w:val="-3"/>
          <w:sz w:val="24"/>
          <w:szCs w:val="24"/>
        </w:rPr>
        <w:t>严格按照合同约定完成建设任务，确保指定区域建设在场地移交后</w:t>
      </w:r>
      <w:r>
        <w:rPr>
          <w:rStyle w:val="24"/>
          <w:color w:val="auto"/>
          <w:spacing w:val="-3"/>
          <w:sz w:val="24"/>
          <w:szCs w:val="24"/>
        </w:rPr>
        <w:t>2</w:t>
      </w:r>
      <w:r>
        <w:rPr>
          <w:rStyle w:val="24"/>
          <w:rFonts w:ascii="宋体" w:hAnsi="宋体" w:eastAsia="宋体" w:cs="宋体"/>
          <w:color w:val="auto"/>
          <w:spacing w:val="-3"/>
          <w:sz w:val="24"/>
          <w:szCs w:val="24"/>
        </w:rPr>
        <w:t>个月内完成，</w:t>
      </w:r>
      <w:r>
        <w:rPr>
          <w:rFonts w:ascii="宋体" w:hAnsi="宋体" w:eastAsia="宋体" w:cs="宋体"/>
          <w:color w:val="auto"/>
          <w:sz w:val="24"/>
          <w:szCs w:val="24"/>
        </w:rPr>
        <w:t>遇恶劣天气等不可抗力因素需延期的，应取得甲方书面同意，</w:t>
      </w:r>
      <w:r>
        <w:rPr>
          <w:rStyle w:val="24"/>
          <w:rFonts w:ascii="宋体" w:hAnsi="宋体" w:eastAsia="宋体" w:cs="宋体"/>
          <w:color w:val="auto"/>
          <w:spacing w:val="-3"/>
          <w:sz w:val="24"/>
          <w:szCs w:val="24"/>
        </w:rPr>
        <w:t>无故逾期超过</w:t>
      </w:r>
      <w:r>
        <w:rPr>
          <w:rStyle w:val="24"/>
          <w:color w:val="auto"/>
          <w:spacing w:val="-3"/>
          <w:sz w:val="24"/>
          <w:szCs w:val="24"/>
        </w:rPr>
        <w:t>30</w:t>
      </w:r>
      <w:r>
        <w:rPr>
          <w:rStyle w:val="24"/>
          <w:rFonts w:ascii="宋体" w:hAnsi="宋体" w:eastAsia="宋体" w:cs="宋体"/>
          <w:color w:val="auto"/>
          <w:spacing w:val="-3"/>
          <w:sz w:val="24"/>
          <w:szCs w:val="24"/>
        </w:rPr>
        <w:t>天视为违约；</w:t>
      </w:r>
    </w:p>
    <w:p w14:paraId="48BD4C98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4.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遵守园区统一运营时间，营业时段至少安排</w:t>
      </w:r>
      <w:r>
        <w:rPr>
          <w:color w:val="auto"/>
          <w:spacing w:val="-3"/>
          <w:sz w:val="24"/>
          <w:szCs w:val="24"/>
        </w:rPr>
        <w:t>1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人接待，特殊活动可与甲方协商调整；</w:t>
      </w:r>
    </w:p>
    <w:p w14:paraId="4DF62079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5.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落实卫生要求，公共区域每日消毒</w:t>
      </w:r>
      <w:r>
        <w:rPr>
          <w:color w:val="auto"/>
          <w:spacing w:val="-3"/>
          <w:sz w:val="24"/>
          <w:szCs w:val="24"/>
        </w:rPr>
        <w:t>2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次，禁用不可降解一次性用品，餐饮卫生达标，员工</w:t>
      </w:r>
      <w:r>
        <w:rPr>
          <w:color w:val="auto"/>
          <w:spacing w:val="-3"/>
          <w:sz w:val="24"/>
          <w:szCs w:val="24"/>
        </w:rPr>
        <w:t>100%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持健康证及相关证件，并接受甲方随时检查；</w:t>
      </w:r>
    </w:p>
    <w:p w14:paraId="4C96AB6B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6.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负责其经营地块内配套绿化的日常养护（如庭院、餐厅周边、营地绿化等），需符合绿化管养标准，接受园区管理方监督。</w:t>
      </w:r>
    </w:p>
    <w:p w14:paraId="728E0E06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7.</w:t>
      </w:r>
      <w:r>
        <w:rPr>
          <w:rStyle w:val="25"/>
          <w:rFonts w:ascii="宋体" w:hAnsi="宋体" w:eastAsia="宋体" w:cs="宋体"/>
          <w:color w:val="auto"/>
          <w:spacing w:val="-3"/>
          <w:sz w:val="24"/>
          <w:szCs w:val="24"/>
        </w:rPr>
        <w:t>价格体系经甲方备案后执行，不高于周边同类市场价</w:t>
      </w:r>
      <w:r>
        <w:rPr>
          <w:rStyle w:val="25"/>
          <w:color w:val="auto"/>
          <w:spacing w:val="-3"/>
          <w:sz w:val="24"/>
          <w:szCs w:val="24"/>
        </w:rPr>
        <w:t>15%</w:t>
      </w:r>
      <w:r>
        <w:rPr>
          <w:rStyle w:val="25"/>
          <w:rFonts w:ascii="宋体" w:hAnsi="宋体" w:eastAsia="宋体" w:cs="宋体"/>
          <w:color w:val="auto"/>
          <w:spacing w:val="-3"/>
          <w:sz w:val="24"/>
          <w:szCs w:val="24"/>
        </w:rPr>
        <w:t>，节假日调价需提前 </w:t>
      </w:r>
      <w:r>
        <w:rPr>
          <w:rStyle w:val="25"/>
          <w:color w:val="auto"/>
          <w:spacing w:val="-3"/>
          <w:sz w:val="24"/>
          <w:szCs w:val="24"/>
        </w:rPr>
        <w:t>7 </w:t>
      </w:r>
      <w:r>
        <w:rPr>
          <w:rStyle w:val="25"/>
          <w:rFonts w:ascii="宋体" w:hAnsi="宋体" w:eastAsia="宋体" w:cs="宋体"/>
          <w:color w:val="auto"/>
          <w:spacing w:val="-3"/>
          <w:sz w:val="24"/>
          <w:szCs w:val="24"/>
        </w:rPr>
        <w:t>天书面告知甲方；</w:t>
      </w:r>
    </w:p>
    <w:p w14:paraId="54276341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8.</w:t>
      </w:r>
      <w:r>
        <w:rPr>
          <w:rStyle w:val="26"/>
          <w:rFonts w:ascii="宋体" w:hAnsi="宋体" w:eastAsia="宋体" w:cs="宋体"/>
          <w:color w:val="auto"/>
          <w:spacing w:val="-3"/>
          <w:sz w:val="24"/>
          <w:szCs w:val="24"/>
        </w:rPr>
        <w:t>按本协议约定履行营收数据管理义务，配合甲方财务核查；</w:t>
      </w:r>
      <w:r>
        <w:rPr>
          <w:rFonts w:ascii="宋体" w:hAnsi="宋体" w:eastAsia="宋体" w:cs="宋体"/>
          <w:color w:val="auto"/>
          <w:sz w:val="24"/>
          <w:szCs w:val="24"/>
        </w:rPr>
        <w:t>甲方有权委托第三方审计机构进行专项审计，审计费用由乙方承担。</w:t>
      </w:r>
      <w:r>
        <w:rPr>
          <w:rStyle w:val="26"/>
          <w:rFonts w:ascii="宋体" w:hAnsi="宋体" w:eastAsia="宋体" w:cs="宋体"/>
          <w:color w:val="auto"/>
          <w:spacing w:val="-3"/>
          <w:sz w:val="24"/>
          <w:szCs w:val="24"/>
        </w:rPr>
        <w:t>如甲方需要，收款方将转移至甲方，乙方需无条件配合；</w:t>
      </w:r>
    </w:p>
    <w:p w14:paraId="5CE66BC8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9.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全面承担经营期间安全责任，具体如下：</w:t>
      </w:r>
    </w:p>
    <w:p w14:paraId="456CB1F8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</w:t>
      </w:r>
      <w:r>
        <w:rPr>
          <w:color w:val="auto"/>
          <w:spacing w:val="-3"/>
          <w:sz w:val="24"/>
          <w:szCs w:val="24"/>
        </w:rPr>
        <w:t>1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）人身与财产安全：对经营区域内的设施设备（如餐饮器具、游乐设施、消防器材等）定期检修维护，确保安全可用；落实游客身份核验相关要求，防范治安风险；若发生游客人身受伤、财物丢失等情况，应立即处置（如送医、报警），并在 </w:t>
      </w:r>
      <w:r>
        <w:rPr>
          <w:color w:val="auto"/>
          <w:spacing w:val="-3"/>
          <w:sz w:val="24"/>
          <w:szCs w:val="24"/>
        </w:rPr>
        <w:t>1 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小时内上报甲方，承担全部医疗、赔偿等相关费用；</w:t>
      </w:r>
    </w:p>
    <w:p w14:paraId="07274E4D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</w:t>
      </w:r>
      <w:r>
        <w:rPr>
          <w:color w:val="auto"/>
          <w:spacing w:val="-3"/>
          <w:sz w:val="24"/>
          <w:szCs w:val="24"/>
        </w:rPr>
        <w:t>2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）</w:t>
      </w:r>
      <w:r>
        <w:rPr>
          <w:rStyle w:val="27"/>
          <w:rFonts w:ascii="宋体" w:hAnsi="宋体" w:eastAsia="宋体" w:cs="宋体"/>
          <w:color w:val="auto"/>
          <w:spacing w:val="-3"/>
          <w:sz w:val="24"/>
          <w:szCs w:val="24"/>
        </w:rPr>
        <w:t>消防安全：严格遵守消防法规，按规范配备、维护消防设施，确保疏散通道、安全出口畅通；严禁在经营区域内堆放易燃易爆物品，张贴消防警示标识及逃生路线图；每月开展 </w:t>
      </w:r>
      <w:r>
        <w:rPr>
          <w:rStyle w:val="27"/>
          <w:color w:val="auto"/>
          <w:spacing w:val="-3"/>
          <w:sz w:val="24"/>
          <w:szCs w:val="24"/>
        </w:rPr>
        <w:t>1 </w:t>
      </w:r>
      <w:r>
        <w:rPr>
          <w:rStyle w:val="27"/>
          <w:rFonts w:ascii="宋体" w:hAnsi="宋体" w:eastAsia="宋体" w:cs="宋体"/>
          <w:color w:val="auto"/>
          <w:spacing w:val="-3"/>
          <w:sz w:val="24"/>
          <w:szCs w:val="24"/>
        </w:rPr>
        <w:t>次安全检查，每季度组织 </w:t>
      </w:r>
      <w:r>
        <w:rPr>
          <w:rStyle w:val="27"/>
          <w:color w:val="auto"/>
          <w:spacing w:val="-3"/>
          <w:sz w:val="24"/>
          <w:szCs w:val="24"/>
        </w:rPr>
        <w:t>1 </w:t>
      </w:r>
      <w:r>
        <w:rPr>
          <w:rStyle w:val="27"/>
          <w:rFonts w:ascii="宋体" w:hAnsi="宋体" w:eastAsia="宋体" w:cs="宋体"/>
          <w:color w:val="auto"/>
          <w:spacing w:val="-3"/>
          <w:sz w:val="24"/>
          <w:szCs w:val="24"/>
        </w:rPr>
        <w:t>次员工消防培训与应急演练，留存培训记录，确保员工掌握灭火、疏散技能；若发生火灾等安全事故，应立即启动应急预案，组织救援并上报甲方及相关部门，承担全部责任及损失</w:t>
      </w:r>
      <w:r>
        <w:rPr>
          <w:rFonts w:ascii="宋体" w:hAnsi="宋体" w:eastAsia="宋体" w:cs="宋体"/>
          <w:color w:val="auto"/>
          <w:sz w:val="24"/>
          <w:szCs w:val="24"/>
        </w:rPr>
        <w:t>及甲方商誉损害赔偿</w:t>
      </w:r>
      <w:r>
        <w:rPr>
          <w:rStyle w:val="27"/>
          <w:rFonts w:ascii="宋体" w:hAnsi="宋体" w:eastAsia="宋体" w:cs="宋体"/>
          <w:color w:val="auto"/>
          <w:spacing w:val="-3"/>
          <w:sz w:val="24"/>
          <w:szCs w:val="24"/>
        </w:rPr>
        <w:t>；</w:t>
      </w:r>
    </w:p>
    <w:p w14:paraId="2B7C9EAC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</w:t>
      </w:r>
      <w:r>
        <w:rPr>
          <w:color w:val="auto"/>
          <w:spacing w:val="-3"/>
          <w:sz w:val="24"/>
          <w:szCs w:val="24"/>
        </w:rPr>
        <w:t>3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）食品安全：严格执行食品安全相关规定，建立食材采购、储存、加工、留样等全流程管理制度；餐饮从业人员持有效健康证上岗；食材从正规渠道采购，留存供应商资质与采购凭证，避免使用过期、变质食材；若发生食品安全事故，应立即停止餐饮供应，组织救治受影响人员，上报甲方及当地市场监管部门，承担全部责任及损失；</w:t>
      </w:r>
    </w:p>
    <w:p w14:paraId="1884B250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10.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及时响应游客投诉（</w:t>
      </w:r>
      <w:r>
        <w:rPr>
          <w:color w:val="auto"/>
          <w:spacing w:val="-3"/>
          <w:sz w:val="24"/>
          <w:szCs w:val="24"/>
        </w:rPr>
        <w:t>24 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小时内处理并向甲方反馈结果），配合甲方开展服务质量调研；</w:t>
      </w:r>
    </w:p>
    <w:p w14:paraId="0E5C23F8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11.</w:t>
      </w:r>
      <w:r>
        <w:rPr>
          <w:rStyle w:val="28"/>
          <w:rFonts w:ascii="宋体" w:hAnsi="宋体" w:eastAsia="宋体" w:cs="宋体"/>
          <w:color w:val="auto"/>
          <w:spacing w:val="-3"/>
          <w:sz w:val="24"/>
          <w:szCs w:val="24"/>
        </w:rPr>
        <w:t>不得擅自改变项目用途、扩大经营范围或占用合同约定外的区域，不得转租或转让经营权</w:t>
      </w:r>
      <w:r>
        <w:rPr>
          <w:rFonts w:ascii="宋体" w:hAnsi="宋体" w:eastAsia="宋体" w:cs="宋体"/>
          <w:color w:val="auto"/>
          <w:sz w:val="24"/>
          <w:szCs w:val="24"/>
        </w:rPr>
        <w:t>，且改造费用由乙方全额承担</w:t>
      </w:r>
      <w:r>
        <w:rPr>
          <w:rStyle w:val="28"/>
          <w:rFonts w:ascii="宋体" w:hAnsi="宋体" w:eastAsia="宋体" w:cs="宋体"/>
          <w:color w:val="auto"/>
          <w:spacing w:val="-3"/>
          <w:sz w:val="24"/>
          <w:szCs w:val="24"/>
        </w:rPr>
        <w:t>。</w:t>
      </w:r>
    </w:p>
    <w:p w14:paraId="1209ED24">
      <w:pPr>
        <w:widowControl w:val="0"/>
        <w:spacing w:before="0" w:after="0" w:line="360" w:lineRule="auto"/>
        <w:ind w:firstLine="480"/>
        <w:jc w:val="both"/>
        <w:rPr>
          <w:rFonts w:ascii="宋体" w:hAnsi="宋体" w:eastAsia="宋体" w:cs="宋体"/>
          <w:color w:val="auto"/>
          <w:spacing w:val="-3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12.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若乙方违反上述安全责任约定，视为严重违约，甲方有权按本协议第六条相关约定追究乙方违约责任。</w:t>
      </w:r>
    </w:p>
    <w:p w14:paraId="28100C48">
      <w:pPr>
        <w:spacing w:before="0" w:after="0"/>
        <w:ind w:firstLine="468" w:firstLineChars="200"/>
        <w:rPr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pacing w:val="-3"/>
          <w:sz w:val="24"/>
          <w:szCs w:val="24"/>
          <w:lang w:val="en-US" w:eastAsia="zh-CN"/>
        </w:rPr>
        <w:t>13.</w:t>
      </w:r>
      <w:r>
        <w:rPr>
          <w:rFonts w:ascii="宋体" w:hAnsi="宋体" w:eastAsia="宋体" w:cs="宋体"/>
          <w:color w:val="auto"/>
          <w:sz w:val="24"/>
          <w:szCs w:val="24"/>
        </w:rPr>
        <w:t>乙方承诺其经营收入不得低于首年保底收益对应的日均营收，连续30日未达标的，甲方有权单方调整分成比例；</w:t>
      </w:r>
    </w:p>
    <w:p w14:paraId="0080C585">
      <w:pPr>
        <w:widowControl w:val="0"/>
        <w:spacing w:before="0" w:after="0" w:line="360" w:lineRule="auto"/>
        <w:ind w:firstLine="480"/>
        <w:jc w:val="both"/>
        <w:rPr>
          <w:rFonts w:hint="default" w:ascii="宋体" w:hAnsi="宋体" w:eastAsia="宋体" w:cs="宋体"/>
          <w:color w:val="auto"/>
          <w:spacing w:val="-3"/>
          <w:sz w:val="24"/>
          <w:szCs w:val="24"/>
          <w:lang w:val="en-US" w:eastAsia="zh-CN"/>
        </w:rPr>
      </w:pPr>
    </w:p>
    <w:p w14:paraId="374211DF">
      <w:pPr>
        <w:spacing w:before="210" w:after="210"/>
        <w:rPr>
          <w:color w:val="auto"/>
        </w:rPr>
      </w:pPr>
      <w:r>
        <w:rPr>
          <w:rStyle w:val="29"/>
          <w:rFonts w:ascii="宋体" w:hAnsi="宋体" w:eastAsia="宋体" w:cs="宋体"/>
          <w:color w:val="auto"/>
          <w:spacing w:val="-3"/>
          <w:sz w:val="24"/>
          <w:szCs w:val="24"/>
        </w:rPr>
        <w:t>         </w:t>
      </w:r>
    </w:p>
    <w:p w14:paraId="55EF7015">
      <w:pPr>
        <w:widowControl w:val="0"/>
        <w:spacing w:before="0" w:after="0" w:line="360" w:lineRule="auto"/>
        <w:ind w:firstLine="480"/>
        <w:jc w:val="center"/>
        <w:rPr>
          <w:rFonts w:ascii="Times New Roman" w:hAnsi="Times New Roman" w:eastAsia="Times New Roman" w:cs="Times New Roman"/>
          <w:color w:val="auto"/>
          <w:spacing w:val="-3"/>
          <w:sz w:val="24"/>
          <w:szCs w:val="24"/>
        </w:rPr>
      </w:pPr>
    </w:p>
    <w:p w14:paraId="0052156C">
      <w:pPr>
        <w:widowControl w:val="0"/>
        <w:spacing w:before="0" w:after="0" w:line="360" w:lineRule="auto"/>
        <w:ind w:firstLine="480"/>
        <w:jc w:val="center"/>
        <w:rPr>
          <w:color w:val="auto"/>
          <w:sz w:val="24"/>
          <w:szCs w:val="24"/>
        </w:rPr>
      </w:pPr>
      <w:r>
        <w:rPr>
          <w:rFonts w:ascii="宋体" w:hAnsi="宋体" w:eastAsia="宋体" w:cs="宋体"/>
          <w:b/>
          <w:bCs/>
          <w:color w:val="auto"/>
          <w:spacing w:val="-3"/>
          <w:sz w:val="24"/>
          <w:szCs w:val="24"/>
        </w:rPr>
        <w:t>第六条违约责任</w:t>
      </w:r>
    </w:p>
    <w:p w14:paraId="226AF88F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（一）通用约定</w:t>
      </w:r>
    </w:p>
    <w:p w14:paraId="542F026D">
      <w:pPr>
        <w:spacing w:before="0" w:after="0"/>
        <w:rPr>
          <w:color w:val="auto"/>
          <w:sz w:val="24"/>
          <w:szCs w:val="24"/>
        </w:rPr>
      </w:pPr>
      <w:r>
        <w:rPr>
          <w:rStyle w:val="30"/>
          <w:rFonts w:ascii="宋体" w:hAnsi="宋体" w:eastAsia="宋体" w:cs="宋体"/>
          <w:color w:val="auto"/>
          <w:spacing w:val="-3"/>
          <w:sz w:val="24"/>
          <w:szCs w:val="24"/>
        </w:rPr>
        <w:t>违约方承担违约责任的方式按《民法典》的规定执行，包括停止侵害、排除妨碍、返还财产、恢复原状、继续履行、赔偿损失、支付违约金等，上述承担违约责任的方式可以单独适用，也可以合并适用。</w:t>
      </w:r>
      <w:r>
        <w:rPr>
          <w:rFonts w:ascii="宋体" w:hAnsi="宋体" w:eastAsia="宋体" w:cs="宋体"/>
          <w:color w:val="auto"/>
          <w:sz w:val="24"/>
          <w:szCs w:val="24"/>
        </w:rPr>
        <w:t>但因乙方违约产生的责任不因本协议解除而免除。</w:t>
      </w:r>
    </w:p>
    <w:p w14:paraId="7AD9E4A0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</w:p>
    <w:p w14:paraId="6C0730EF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（二）甲方违约责任</w:t>
      </w:r>
    </w:p>
    <w:p w14:paraId="17E90745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1.</w:t>
      </w:r>
      <w:r>
        <w:rPr>
          <w:rStyle w:val="31"/>
          <w:color w:val="auto"/>
          <w:sz w:val="24"/>
          <w:szCs w:val="24"/>
        </w:rPr>
        <w:t>因甲方原因未按约定交付场地的，每逾期一日，</w:t>
      </w:r>
      <w:r>
        <w:rPr>
          <w:rStyle w:val="31"/>
          <w:rFonts w:ascii="宋体" w:hAnsi="宋体" w:eastAsia="宋体" w:cs="宋体"/>
          <w:color w:val="auto"/>
          <w:spacing w:val="-3"/>
          <w:sz w:val="24"/>
          <w:szCs w:val="24"/>
        </w:rPr>
        <w:t>按首年日保底收益</w:t>
      </w:r>
      <w:r>
        <w:rPr>
          <w:rFonts w:ascii="宋体" w:hAnsi="宋体" w:eastAsia="宋体" w:cs="宋体"/>
          <w:color w:val="auto"/>
          <w:sz w:val="24"/>
          <w:szCs w:val="24"/>
        </w:rPr>
        <w:t>的万分之一点五</w:t>
      </w:r>
      <w:r>
        <w:rPr>
          <w:rStyle w:val="31"/>
          <w:rFonts w:ascii="宋体" w:hAnsi="宋体" w:eastAsia="宋体" w:cs="宋体"/>
          <w:color w:val="auto"/>
          <w:spacing w:val="-3"/>
          <w:sz w:val="24"/>
          <w:szCs w:val="24"/>
        </w:rPr>
        <w:t>向乙方支付违约金；逾期超过</w:t>
      </w:r>
      <w:r>
        <w:rPr>
          <w:rStyle w:val="31"/>
          <w:color w:val="auto"/>
          <w:spacing w:val="-3"/>
          <w:sz w:val="24"/>
          <w:szCs w:val="24"/>
        </w:rPr>
        <w:t>30</w:t>
      </w:r>
      <w:r>
        <w:rPr>
          <w:rStyle w:val="31"/>
          <w:rFonts w:ascii="宋体" w:hAnsi="宋体" w:eastAsia="宋体" w:cs="宋体"/>
          <w:color w:val="auto"/>
          <w:spacing w:val="-3"/>
          <w:sz w:val="24"/>
          <w:szCs w:val="24"/>
        </w:rPr>
        <w:t>日的，乙方有权解除合同，甲方应无息退还乙方已缴费用，并赔偿乙方实际损失；</w:t>
      </w:r>
    </w:p>
    <w:p w14:paraId="5510F5A1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2.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甲方未履行协助办理证照义务导致乙方无法正常经营的，应赔偿乙方相应损失；逾期超过</w:t>
      </w:r>
      <w:r>
        <w:rPr>
          <w:color w:val="auto"/>
          <w:spacing w:val="-3"/>
          <w:sz w:val="24"/>
          <w:szCs w:val="24"/>
        </w:rPr>
        <w:t>30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日仍未解决的，乙方有权解除合同；</w:t>
      </w:r>
    </w:p>
    <w:p w14:paraId="67A49840">
      <w:pPr>
        <w:spacing w:before="210" w:after="210"/>
        <w:rPr>
          <w:rFonts w:hint="default" w:eastAsia="宋体"/>
          <w:color w:val="auto"/>
          <w:lang w:val="en-US" w:eastAsia="zh-CN"/>
        </w:rPr>
      </w:pPr>
      <w:r>
        <w:rPr>
          <w:rStyle w:val="32"/>
          <w:rFonts w:ascii="宋体" w:hAnsi="宋体" w:eastAsia="宋体" w:cs="宋体"/>
          <w:color w:val="auto"/>
          <w:spacing w:val="-3"/>
        </w:rPr>
        <w:t>         </w:t>
      </w:r>
      <w:r>
        <w:rPr>
          <w:rStyle w:val="10"/>
          <w:rFonts w:hint="eastAsia" w:eastAsia="宋体"/>
          <w:color w:val="auto"/>
          <w:lang w:val="en-US" w:eastAsia="zh-CN"/>
        </w:rPr>
        <w:t>3.</w:t>
      </w:r>
      <w:r>
        <w:rPr>
          <w:rFonts w:ascii="宋体" w:hAnsi="宋体" w:eastAsia="宋体" w:cs="宋体"/>
          <w:color w:val="auto"/>
          <w:sz w:val="24"/>
          <w:szCs w:val="24"/>
        </w:rPr>
        <w:t>因不可抗力、政府行为或园区整体规划调整导致甲方无法履行合同义务的，甲方不承担任何违约责任。</w:t>
      </w:r>
    </w:p>
    <w:p w14:paraId="4DA86071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</w:p>
    <w:p w14:paraId="216F977A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（三）乙方违约责任</w:t>
      </w:r>
    </w:p>
    <w:p w14:paraId="60EEE692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1.</w:t>
      </w:r>
      <w:r>
        <w:rPr>
          <w:rStyle w:val="33"/>
          <w:rFonts w:ascii="宋体" w:hAnsi="宋体" w:eastAsia="宋体" w:cs="宋体"/>
          <w:color w:val="auto"/>
          <w:spacing w:val="-3"/>
          <w:sz w:val="24"/>
          <w:szCs w:val="24"/>
        </w:rPr>
        <w:t>乙方未按约定支付保底收益、额外分成收益等相关费用的，每拖欠一日，按拖欠金额的万分之三向甲方支付逾期付款违约金；</w:t>
      </w:r>
      <w:r>
        <w:rPr>
          <w:rStyle w:val="33"/>
          <w:rFonts w:hint="eastAsia" w:ascii="宋体" w:hAnsi="宋体" w:eastAsia="宋体" w:cs="宋体"/>
          <w:color w:val="auto"/>
          <w:spacing w:val="-3"/>
          <w:sz w:val="24"/>
          <w:szCs w:val="24"/>
          <w:lang w:val="en-US" w:eastAsia="zh-CN"/>
        </w:rPr>
        <w:t>累计</w:t>
      </w:r>
      <w:r>
        <w:rPr>
          <w:rStyle w:val="33"/>
          <w:rFonts w:ascii="宋体" w:hAnsi="宋体" w:eastAsia="宋体" w:cs="宋体"/>
          <w:color w:val="auto"/>
          <w:spacing w:val="-3"/>
          <w:sz w:val="24"/>
          <w:szCs w:val="24"/>
        </w:rPr>
        <w:t>逾期超过</w:t>
      </w:r>
      <w:r>
        <w:rPr>
          <w:rStyle w:val="33"/>
          <w:color w:val="auto"/>
          <w:spacing w:val="-3"/>
          <w:sz w:val="24"/>
          <w:szCs w:val="24"/>
        </w:rPr>
        <w:t>15</w:t>
      </w:r>
      <w:r>
        <w:rPr>
          <w:rStyle w:val="33"/>
          <w:rFonts w:ascii="宋体" w:hAnsi="宋体" w:eastAsia="宋体" w:cs="宋体"/>
          <w:color w:val="auto"/>
          <w:spacing w:val="-3"/>
          <w:sz w:val="24"/>
          <w:szCs w:val="24"/>
        </w:rPr>
        <w:t>日的，甲方有权</w:t>
      </w:r>
      <w:r>
        <w:rPr>
          <w:rFonts w:ascii="宋体" w:hAnsi="宋体" w:eastAsia="宋体" w:cs="宋体"/>
          <w:color w:val="auto"/>
          <w:sz w:val="24"/>
          <w:szCs w:val="24"/>
        </w:rPr>
        <w:t>单方停止供水供电并限制场地使用，有权</w:t>
      </w:r>
      <w:r>
        <w:rPr>
          <w:rStyle w:val="33"/>
          <w:rFonts w:ascii="宋体" w:hAnsi="宋体" w:eastAsia="宋体" w:cs="宋体"/>
          <w:color w:val="auto"/>
          <w:spacing w:val="-3"/>
          <w:sz w:val="24"/>
          <w:szCs w:val="24"/>
        </w:rPr>
        <w:t>要求乙方限期补足，逾期仍未补足的，甲方有权单方解除合同，没收履约保证金，乙方还应赔偿甲方</w:t>
      </w:r>
      <w:r>
        <w:rPr>
          <w:rStyle w:val="33"/>
          <w:rFonts w:hint="eastAsia" w:ascii="宋体" w:hAnsi="宋体" w:eastAsia="宋体" w:cs="宋体"/>
          <w:color w:val="auto"/>
          <w:spacing w:val="-3"/>
          <w:sz w:val="24"/>
          <w:szCs w:val="24"/>
          <w:lang w:val="en-US" w:eastAsia="zh-CN"/>
        </w:rPr>
        <w:t>全部</w:t>
      </w:r>
      <w:r>
        <w:rPr>
          <w:rStyle w:val="33"/>
          <w:rFonts w:ascii="宋体" w:hAnsi="宋体" w:eastAsia="宋体" w:cs="宋体"/>
          <w:color w:val="auto"/>
          <w:spacing w:val="-3"/>
          <w:sz w:val="24"/>
          <w:szCs w:val="24"/>
        </w:rPr>
        <w:t>损失</w:t>
      </w:r>
      <w:r>
        <w:rPr>
          <w:rFonts w:ascii="宋体" w:hAnsi="宋体" w:eastAsia="宋体" w:cs="宋体"/>
          <w:color w:val="auto"/>
          <w:sz w:val="24"/>
          <w:szCs w:val="24"/>
        </w:rPr>
        <w:t>（包括但不限于直接损失、间接损失、可得利益损失及甲方为实现权利所支出的合理费用）</w:t>
      </w:r>
      <w:r>
        <w:rPr>
          <w:rStyle w:val="33"/>
          <w:rFonts w:ascii="宋体" w:hAnsi="宋体" w:eastAsia="宋体" w:cs="宋体"/>
          <w:color w:val="auto"/>
          <w:spacing w:val="-3"/>
          <w:sz w:val="24"/>
          <w:szCs w:val="24"/>
        </w:rPr>
        <w:t>；</w:t>
      </w:r>
    </w:p>
    <w:p w14:paraId="118318F9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2.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乙方私设收款渠道、虚报或隐瞒营收数据、拒绝配合甲方财务核查的，甲方有权要求乙方限期整改，并处以当期营收</w:t>
      </w:r>
      <w:r>
        <w:rPr>
          <w:color w:val="auto"/>
          <w:spacing w:val="-3"/>
          <w:sz w:val="24"/>
          <w:szCs w:val="24"/>
        </w:rPr>
        <w:t>50%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（含违规收入）的违约金；累计</w:t>
      </w:r>
      <w:r>
        <w:rPr>
          <w:color w:val="auto"/>
          <w:spacing w:val="-3"/>
          <w:sz w:val="24"/>
          <w:szCs w:val="24"/>
        </w:rPr>
        <w:t>2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次以上违约的，甲方有权单方解除合同，没收履约保证金，乙方应赔偿甲方损失；</w:t>
      </w:r>
    </w:p>
    <w:p w14:paraId="13E97D5A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3.</w:t>
      </w:r>
      <w:r>
        <w:rPr>
          <w:rStyle w:val="34"/>
          <w:rFonts w:ascii="宋体" w:hAnsi="宋体" w:eastAsia="宋体" w:cs="宋体"/>
          <w:color w:val="auto"/>
          <w:spacing w:val="-3"/>
          <w:sz w:val="24"/>
          <w:szCs w:val="24"/>
        </w:rPr>
        <w:t>乙方未按约定完成建设任务或建设不符合要求的，甲方有权要求乙方限期整改，逾期未整改或整改不合格的，甲方有权单方解除合同，没收履约保证金，乙方应承担由此造成的</w:t>
      </w:r>
      <w:r>
        <w:rPr>
          <w:rStyle w:val="34"/>
          <w:rFonts w:hint="eastAsia" w:ascii="宋体" w:hAnsi="宋体" w:eastAsia="宋体" w:cs="宋体"/>
          <w:color w:val="auto"/>
          <w:spacing w:val="-3"/>
          <w:sz w:val="24"/>
          <w:szCs w:val="24"/>
          <w:lang w:val="en-US" w:eastAsia="zh-CN"/>
        </w:rPr>
        <w:t>一切</w:t>
      </w:r>
      <w:r>
        <w:rPr>
          <w:rStyle w:val="34"/>
          <w:rFonts w:ascii="宋体" w:hAnsi="宋体" w:eastAsia="宋体" w:cs="宋体"/>
          <w:color w:val="auto"/>
          <w:spacing w:val="-3"/>
          <w:sz w:val="24"/>
          <w:szCs w:val="24"/>
        </w:rPr>
        <w:t>损失</w:t>
      </w:r>
      <w:r>
        <w:rPr>
          <w:rFonts w:ascii="宋体" w:hAnsi="宋体" w:eastAsia="宋体" w:cs="宋体"/>
          <w:color w:val="auto"/>
          <w:sz w:val="24"/>
          <w:szCs w:val="24"/>
        </w:rPr>
        <w:t>（包括但不限于甲方重新招商期间的收益损失、第三方索赔损失及甲方善后处置费用）</w:t>
      </w:r>
      <w:r>
        <w:rPr>
          <w:rStyle w:val="34"/>
          <w:rFonts w:ascii="宋体" w:hAnsi="宋体" w:eastAsia="宋体" w:cs="宋体"/>
          <w:color w:val="auto"/>
          <w:spacing w:val="-3"/>
          <w:sz w:val="24"/>
          <w:szCs w:val="24"/>
        </w:rPr>
        <w:t>；</w:t>
      </w:r>
    </w:p>
    <w:p w14:paraId="0E921730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4.</w:t>
      </w:r>
      <w:r>
        <w:rPr>
          <w:rStyle w:val="35"/>
          <w:rFonts w:ascii="宋体" w:hAnsi="宋体" w:eastAsia="宋体" w:cs="宋体"/>
          <w:color w:val="auto"/>
          <w:spacing w:val="-3"/>
          <w:sz w:val="24"/>
          <w:szCs w:val="24"/>
        </w:rPr>
        <w:t>乙方违反生态保护、卫生管理等规定的，甲方有权要求乙方限期整改，逾期未整改或整改不合格的，每次处以</w:t>
      </w:r>
      <w:r>
        <w:rPr>
          <w:rStyle w:val="35"/>
          <w:color w:val="auto"/>
          <w:spacing w:val="-3"/>
          <w:sz w:val="24"/>
          <w:szCs w:val="24"/>
        </w:rPr>
        <w:t>10000</w:t>
      </w:r>
      <w:r>
        <w:rPr>
          <w:rStyle w:val="35"/>
          <w:rFonts w:ascii="宋体" w:hAnsi="宋体" w:eastAsia="宋体" w:cs="宋体"/>
          <w:color w:val="auto"/>
          <w:spacing w:val="-3"/>
          <w:sz w:val="24"/>
          <w:szCs w:val="24"/>
        </w:rPr>
        <w:t>元违约金；情节严重的，甲方有权单方解除合同，没收履约保证金，乙方应赔偿甲方损失；</w:t>
      </w:r>
    </w:p>
    <w:p w14:paraId="13908807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5.</w:t>
      </w:r>
      <w:r>
        <w:rPr>
          <w:rStyle w:val="36"/>
          <w:rFonts w:ascii="宋体" w:hAnsi="宋体" w:eastAsia="宋体" w:cs="宋体"/>
          <w:color w:val="auto"/>
          <w:spacing w:val="-3"/>
          <w:sz w:val="24"/>
          <w:szCs w:val="24"/>
        </w:rPr>
        <w:t>乙方未履行安全责任约定，导致发生安全事故或存在重大安全隐患的，甲方有权要求乙方限期整改，并处以</w:t>
      </w:r>
      <w:r>
        <w:rPr>
          <w:rStyle w:val="36"/>
          <w:color w:val="auto"/>
          <w:spacing w:val="-3"/>
          <w:sz w:val="24"/>
          <w:szCs w:val="24"/>
        </w:rPr>
        <w:t>50000</w:t>
      </w:r>
      <w:r>
        <w:rPr>
          <w:rStyle w:val="36"/>
          <w:rFonts w:ascii="宋体" w:hAnsi="宋体" w:eastAsia="宋体" w:cs="宋体"/>
          <w:color w:val="auto"/>
          <w:spacing w:val="-3"/>
          <w:sz w:val="24"/>
          <w:szCs w:val="24"/>
        </w:rPr>
        <w:t>元违约金；造成甲方或第三方损失的，乙方应承担全部赔偿责任；情节严重的，甲方有权单方解除合同，没收履约保证金；</w:t>
      </w:r>
      <w:r>
        <w:rPr>
          <w:rFonts w:ascii="宋体" w:hAnsi="宋体" w:eastAsia="宋体" w:cs="宋体"/>
          <w:color w:val="auto"/>
          <w:sz w:val="24"/>
          <w:szCs w:val="24"/>
        </w:rPr>
        <w:t>乙方未按第四条第（三）款第1项约定足额缴纳履约保证金的，每逾期一日按应缴金额的万分之五向甲方支付违约金；逾期超过10个工作日的，甲方有权单方解除合同并要求乙方支付首年保底收益30%的违约金。</w:t>
      </w:r>
    </w:p>
    <w:p w14:paraId="51F8B935">
      <w:pPr>
        <w:spacing w:before="210" w:after="210"/>
        <w:rPr>
          <w:color w:val="auto"/>
        </w:rPr>
      </w:pPr>
      <w:r>
        <w:rPr>
          <w:rStyle w:val="37"/>
          <w:rFonts w:ascii="宋体" w:hAnsi="宋体" w:eastAsia="宋体" w:cs="宋体"/>
          <w:color w:val="auto"/>
          <w:spacing w:val="-3"/>
          <w:sz w:val="24"/>
          <w:szCs w:val="24"/>
        </w:rPr>
        <w:t>         </w:t>
      </w:r>
    </w:p>
    <w:p w14:paraId="79DF700E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6.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乙方擅自改变项目用途、转租或转让经营权的，甲方有权单方解除合同，没收履约保证金，无条件收回场地，由此对乙方造成的损失，甲方不作任何赔偿或补偿；</w:t>
      </w:r>
    </w:p>
    <w:p w14:paraId="0E4EBE1A">
      <w:pPr>
        <w:spacing w:before="0" w:after="0"/>
        <w:rPr>
          <w:color w:val="auto"/>
          <w:sz w:val="24"/>
          <w:szCs w:val="24"/>
        </w:rPr>
      </w:pPr>
      <w:r>
        <w:rPr>
          <w:color w:val="auto"/>
          <w:spacing w:val="-3"/>
          <w:sz w:val="24"/>
          <w:szCs w:val="24"/>
        </w:rPr>
        <w:t>7.</w:t>
      </w:r>
      <w:r>
        <w:rPr>
          <w:rStyle w:val="38"/>
          <w:rFonts w:ascii="宋体" w:hAnsi="宋体" w:eastAsia="宋体" w:cs="宋体"/>
          <w:color w:val="auto"/>
          <w:spacing w:val="-3"/>
          <w:sz w:val="24"/>
          <w:szCs w:val="24"/>
        </w:rPr>
        <w:t>乙方游客有效投诉率连续</w:t>
      </w:r>
      <w:r>
        <w:rPr>
          <w:rStyle w:val="38"/>
          <w:color w:val="auto"/>
          <w:spacing w:val="-3"/>
          <w:sz w:val="24"/>
          <w:szCs w:val="24"/>
        </w:rPr>
        <w:t>3</w:t>
      </w:r>
      <w:r>
        <w:rPr>
          <w:rStyle w:val="38"/>
          <w:rFonts w:ascii="宋体" w:hAnsi="宋体" w:eastAsia="宋体" w:cs="宋体"/>
          <w:color w:val="auto"/>
          <w:spacing w:val="-3"/>
          <w:sz w:val="24"/>
          <w:szCs w:val="24"/>
        </w:rPr>
        <w:t>个月超过</w:t>
      </w:r>
      <w:r>
        <w:rPr>
          <w:rStyle w:val="38"/>
          <w:color w:val="auto"/>
          <w:spacing w:val="-3"/>
          <w:sz w:val="24"/>
          <w:szCs w:val="24"/>
        </w:rPr>
        <w:t>5%</w:t>
      </w:r>
      <w:r>
        <w:rPr>
          <w:rStyle w:val="38"/>
          <w:rFonts w:ascii="宋体" w:hAnsi="宋体" w:eastAsia="宋体" w:cs="宋体"/>
          <w:color w:val="auto"/>
          <w:spacing w:val="-3"/>
          <w:sz w:val="24"/>
          <w:szCs w:val="24"/>
        </w:rPr>
        <w:t>，或因服务问题被媒体曝光造成负面影响</w:t>
      </w:r>
      <w:r>
        <w:rPr>
          <w:rFonts w:ascii="宋体" w:hAnsi="宋体" w:eastAsia="宋体" w:cs="宋体"/>
          <w:color w:val="auto"/>
          <w:sz w:val="24"/>
          <w:szCs w:val="24"/>
        </w:rPr>
        <w:t>（包括但不限于市级以上主流媒体报道或网络平台阅读量超过10万次的负面舆情</w:t>
      </w:r>
      <w:r>
        <w:rPr>
          <w:rStyle w:val="38"/>
          <w:rFonts w:ascii="宋体" w:hAnsi="宋体" w:eastAsia="宋体" w:cs="宋体"/>
          <w:color w:val="auto"/>
          <w:spacing w:val="-3"/>
          <w:sz w:val="24"/>
          <w:szCs w:val="24"/>
        </w:rPr>
        <w:t>，甲方有权要求乙方限期整改，逾期未整改的，甲方有权单方解除合同，</w:t>
      </w:r>
      <w:r>
        <w:rPr>
          <w:rFonts w:ascii="宋体" w:hAnsi="宋体" w:eastAsia="宋体" w:cs="宋体"/>
          <w:color w:val="auto"/>
          <w:sz w:val="24"/>
          <w:szCs w:val="24"/>
        </w:rPr>
        <w:t>按本合同剩余合作期内保底收益总额的200%向甲方</w:t>
      </w:r>
      <w:r>
        <w:rPr>
          <w:rFonts w:ascii="宋体" w:hAnsi="宋体" w:eastAsia="宋体" w:cs="宋体"/>
          <w:strike/>
          <w:color w:val="auto"/>
          <w:sz w:val="24"/>
          <w:szCs w:val="24"/>
        </w:rPr>
        <w:t>损失</w:t>
      </w:r>
      <w:r>
        <w:rPr>
          <w:rFonts w:ascii="宋体" w:hAnsi="宋体" w:eastAsia="宋体" w:cs="宋体"/>
          <w:color w:val="auto"/>
          <w:sz w:val="24"/>
          <w:szCs w:val="24"/>
        </w:rPr>
        <w:t>支付惩罚性赔偿金。</w:t>
      </w:r>
    </w:p>
    <w:p w14:paraId="3EA44561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Style w:val="38"/>
          <w:rFonts w:ascii="宋体" w:hAnsi="宋体" w:eastAsia="宋体" w:cs="宋体"/>
          <w:color w:val="auto"/>
          <w:spacing w:val="-3"/>
          <w:sz w:val="24"/>
          <w:szCs w:val="24"/>
        </w:rPr>
        <w:t>。</w:t>
      </w:r>
    </w:p>
    <w:p w14:paraId="716D845F">
      <w:pPr>
        <w:widowControl w:val="0"/>
        <w:spacing w:before="0" w:after="0" w:line="360" w:lineRule="auto"/>
        <w:ind w:firstLine="480"/>
        <w:jc w:val="both"/>
        <w:rPr>
          <w:rFonts w:ascii="Times New Roman" w:hAnsi="Times New Roman" w:eastAsia="Times New Roman" w:cs="Times New Roman"/>
          <w:color w:val="auto"/>
          <w:spacing w:val="-3"/>
          <w:sz w:val="24"/>
          <w:szCs w:val="24"/>
        </w:rPr>
      </w:pPr>
    </w:p>
    <w:p w14:paraId="3ECC98AA">
      <w:pPr>
        <w:widowControl w:val="0"/>
        <w:spacing w:before="0" w:after="0" w:line="360" w:lineRule="auto"/>
        <w:ind w:firstLine="480"/>
        <w:jc w:val="center"/>
        <w:rPr>
          <w:color w:val="auto"/>
          <w:sz w:val="24"/>
          <w:szCs w:val="24"/>
        </w:rPr>
      </w:pPr>
      <w:r>
        <w:rPr>
          <w:rFonts w:ascii="宋体" w:hAnsi="宋体" w:eastAsia="宋体" w:cs="宋体"/>
          <w:b/>
          <w:bCs/>
          <w:color w:val="auto"/>
          <w:spacing w:val="-3"/>
          <w:sz w:val="24"/>
          <w:szCs w:val="24"/>
        </w:rPr>
        <w:t>第七条本协议的生效及其他</w:t>
      </w:r>
    </w:p>
    <w:p w14:paraId="0924D9ED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（一）本协议所称“元”，均指人民币。</w:t>
      </w:r>
    </w:p>
    <w:p w14:paraId="3B7BCB62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（二）本项目招商公告、乙方提交的保底收入报价书、报名及资格审核表等相关文件，均视为本协议的组成部分，与本协议不一致的，以本协议为准。</w:t>
      </w:r>
    </w:p>
    <w:p w14:paraId="75E156C3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（三）本协议未尽事宜，双方可根据实际情况协商签署补充协议，补充协议与本协议具有同等法律效力，补充协议的原则性内容不得与本协议确定的基本规则相抵触。</w:t>
      </w:r>
    </w:p>
    <w:p w14:paraId="08E8D5C2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（四）</w:t>
      </w:r>
      <w:r>
        <w:rPr>
          <w:rStyle w:val="39"/>
          <w:rFonts w:ascii="宋体" w:hAnsi="宋体" w:eastAsia="宋体" w:cs="宋体"/>
          <w:color w:val="auto"/>
          <w:spacing w:val="-3"/>
          <w:sz w:val="24"/>
          <w:szCs w:val="24"/>
        </w:rPr>
        <w:t>本协议履行过程中，如双方发生争议，应及时协商解决；协商不成的，任何一方均可向</w:t>
      </w:r>
      <w:r>
        <w:rPr>
          <w:rStyle w:val="39"/>
          <w:rFonts w:hint="eastAsia" w:ascii="宋体" w:hAnsi="宋体" w:eastAsia="宋体" w:cs="宋体"/>
          <w:color w:val="auto"/>
          <w:spacing w:val="-3"/>
          <w:sz w:val="24"/>
          <w:szCs w:val="24"/>
          <w:lang w:val="en-US" w:eastAsia="zh-CN"/>
        </w:rPr>
        <w:t>广州市南沙区</w:t>
      </w:r>
      <w:r>
        <w:rPr>
          <w:rStyle w:val="39"/>
          <w:rFonts w:ascii="宋体" w:hAnsi="宋体" w:eastAsia="宋体" w:cs="宋体"/>
          <w:color w:val="auto"/>
          <w:spacing w:val="-3"/>
          <w:sz w:val="24"/>
          <w:szCs w:val="24"/>
        </w:rPr>
        <w:t>人民法院提起诉讼，违约方应承担守约方因处理本协议项下纠纷所产生的诉讼费、律师费、</w:t>
      </w:r>
      <w:r>
        <w:rPr>
          <w:rStyle w:val="39"/>
          <w:rFonts w:hint="eastAsia" w:ascii="宋体" w:hAnsi="宋体" w:eastAsia="宋体" w:cs="宋体"/>
          <w:color w:val="auto"/>
          <w:spacing w:val="-3"/>
          <w:sz w:val="24"/>
          <w:szCs w:val="24"/>
          <w:lang w:val="en-US" w:eastAsia="zh-CN"/>
        </w:rPr>
        <w:t>保全费、保全担保费、</w:t>
      </w:r>
      <w:r>
        <w:rPr>
          <w:rStyle w:val="39"/>
          <w:rFonts w:ascii="宋体" w:hAnsi="宋体" w:eastAsia="宋体" w:cs="宋体"/>
          <w:color w:val="auto"/>
          <w:spacing w:val="-3"/>
          <w:sz w:val="24"/>
          <w:szCs w:val="24"/>
        </w:rPr>
        <w:t>差旅费等一切损失。</w:t>
      </w:r>
    </w:p>
    <w:p w14:paraId="0793F059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（五）本协议自甲、乙双方法定代表人或其授权代表签字</w:t>
      </w:r>
      <w:r>
        <w:rPr>
          <w:color w:val="auto"/>
          <w:spacing w:val="-3"/>
          <w:sz w:val="24"/>
          <w:szCs w:val="24"/>
        </w:rPr>
        <w:t>/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捺印并加盖公章</w:t>
      </w:r>
      <w:r>
        <w:rPr>
          <w:rFonts w:hint="eastAsia" w:ascii="宋体" w:hAnsi="宋体" w:eastAsia="宋体" w:cs="宋体"/>
          <w:color w:val="auto"/>
          <w:spacing w:val="-3"/>
          <w:sz w:val="24"/>
          <w:szCs w:val="24"/>
          <w:lang w:val="en-US" w:eastAsia="zh-CN"/>
        </w:rPr>
        <w:t>之日起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生效。</w:t>
      </w:r>
    </w:p>
    <w:p w14:paraId="6F4A7C59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（六）本协议一式陆份，甲、乙双方各执叁份，均具</w:t>
      </w:r>
      <w:r>
        <w:rPr>
          <w:rFonts w:hint="eastAsia" w:ascii="宋体" w:hAnsi="宋体" w:eastAsia="宋体" w:cs="宋体"/>
          <w:color w:val="auto"/>
          <w:spacing w:val="-3"/>
          <w:sz w:val="24"/>
          <w:szCs w:val="24"/>
          <w:lang w:val="en-US" w:eastAsia="zh-CN"/>
        </w:rPr>
        <w:t>有</w:t>
      </w:r>
      <w:r>
        <w:rPr>
          <w:rFonts w:ascii="宋体" w:hAnsi="宋体" w:eastAsia="宋体" w:cs="宋体"/>
          <w:color w:val="auto"/>
          <w:spacing w:val="-3"/>
          <w:sz w:val="24"/>
          <w:szCs w:val="24"/>
        </w:rPr>
        <w:t>同等法律效力。</w:t>
      </w:r>
    </w:p>
    <w:p w14:paraId="7A27A5DC">
      <w:pPr>
        <w:spacing w:before="210" w:after="210"/>
        <w:rPr>
          <w:color w:val="auto"/>
        </w:rPr>
      </w:pPr>
      <w:r>
        <w:rPr>
          <w:rStyle w:val="40"/>
          <w:rFonts w:ascii="宋体" w:hAnsi="宋体" w:eastAsia="宋体" w:cs="宋体"/>
          <w:color w:val="auto"/>
          <w:spacing w:val="-3"/>
          <w:sz w:val="24"/>
          <w:szCs w:val="24"/>
        </w:rPr>
        <w:t>         </w:t>
      </w:r>
    </w:p>
    <w:p w14:paraId="023F6E92">
      <w:pPr>
        <w:widowControl w:val="0"/>
        <w:spacing w:before="0" w:after="0" w:line="360" w:lineRule="auto"/>
        <w:ind w:firstLine="480"/>
        <w:jc w:val="both"/>
        <w:rPr>
          <w:rFonts w:ascii="Times New Roman" w:hAnsi="Times New Roman" w:eastAsia="Times New Roman" w:cs="Times New Roman"/>
          <w:color w:val="auto"/>
          <w:spacing w:val="-3"/>
          <w:sz w:val="24"/>
          <w:szCs w:val="24"/>
        </w:rPr>
      </w:pPr>
    </w:p>
    <w:p w14:paraId="1051B968">
      <w:pPr>
        <w:widowControl w:val="0"/>
        <w:spacing w:before="0" w:after="0" w:line="360" w:lineRule="auto"/>
        <w:ind w:firstLine="480"/>
        <w:jc w:val="both"/>
        <w:rPr>
          <w:rFonts w:ascii="Times New Roman" w:hAnsi="Times New Roman" w:eastAsia="Times New Roman" w:cs="Times New Roman"/>
          <w:color w:val="auto"/>
          <w:spacing w:val="-3"/>
          <w:sz w:val="24"/>
          <w:szCs w:val="24"/>
        </w:rPr>
      </w:pPr>
    </w:p>
    <w:p w14:paraId="5EE23560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（以下为签署页，无正文）</w:t>
      </w:r>
    </w:p>
    <w:p w14:paraId="338F6750">
      <w:pPr>
        <w:widowControl w:val="0"/>
        <w:spacing w:before="0" w:after="0" w:line="360" w:lineRule="auto"/>
        <w:ind w:firstLine="480"/>
        <w:jc w:val="both"/>
        <w:rPr>
          <w:rFonts w:ascii="Times New Roman" w:hAnsi="Times New Roman" w:eastAsia="Times New Roman" w:cs="Times New Roman"/>
          <w:color w:val="auto"/>
          <w:spacing w:val="-3"/>
          <w:sz w:val="24"/>
          <w:szCs w:val="24"/>
        </w:rPr>
      </w:pPr>
    </w:p>
    <w:p w14:paraId="0CBFC09A">
      <w:pPr>
        <w:widowControl w:val="0"/>
        <w:spacing w:before="0" w:after="0" w:line="360" w:lineRule="auto"/>
        <w:ind w:firstLine="480"/>
        <w:jc w:val="both"/>
        <w:rPr>
          <w:rFonts w:ascii="Times New Roman" w:hAnsi="Times New Roman" w:eastAsia="Times New Roman" w:cs="Times New Roman"/>
          <w:color w:val="auto"/>
          <w:spacing w:val="-3"/>
          <w:sz w:val="24"/>
          <w:szCs w:val="24"/>
        </w:rPr>
      </w:pPr>
    </w:p>
    <w:p w14:paraId="4CD9876D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甲方（盖章）：</w:t>
      </w:r>
    </w:p>
    <w:p w14:paraId="1B8D9D27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法定代表人或授权代表（签字）：</w:t>
      </w:r>
    </w:p>
    <w:p w14:paraId="23CA4427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日期：</w:t>
      </w:r>
    </w:p>
    <w:p w14:paraId="18486677">
      <w:pPr>
        <w:spacing w:before="0" w:after="120"/>
        <w:rPr>
          <w:rFonts w:ascii="Times New Roman" w:hAnsi="Times New Roman" w:eastAsia="Times New Roman" w:cs="Times New Roman"/>
          <w:color w:val="auto"/>
          <w:spacing w:val="-3"/>
          <w:sz w:val="24"/>
          <w:szCs w:val="24"/>
        </w:rPr>
      </w:pPr>
    </w:p>
    <w:p w14:paraId="63EB9E8A">
      <w:pPr>
        <w:spacing w:before="0" w:after="120"/>
        <w:rPr>
          <w:rFonts w:ascii="Times New Roman" w:hAnsi="Times New Roman" w:eastAsia="Times New Roman" w:cs="Times New Roman"/>
          <w:color w:val="auto"/>
          <w:spacing w:val="-3"/>
          <w:sz w:val="24"/>
          <w:szCs w:val="24"/>
        </w:rPr>
      </w:pPr>
    </w:p>
    <w:p w14:paraId="732607B8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乙方（盖章）：</w:t>
      </w:r>
    </w:p>
    <w:p w14:paraId="08F889BF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法定代表人或授权代表（签字）：</w:t>
      </w:r>
    </w:p>
    <w:p w14:paraId="36955CA1">
      <w:pPr>
        <w:widowControl w:val="0"/>
        <w:spacing w:before="0" w:after="0" w:line="360" w:lineRule="auto"/>
        <w:ind w:firstLine="480"/>
        <w:jc w:val="both"/>
        <w:rPr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pacing w:val="-3"/>
          <w:sz w:val="24"/>
          <w:szCs w:val="24"/>
        </w:rPr>
        <w:t>日期：</w:t>
      </w:r>
    </w:p>
    <w:p w14:paraId="4E3C821C">
      <w:pPr>
        <w:spacing w:before="0" w:after="120"/>
        <w:rPr>
          <w:rFonts w:ascii="Times New Roman" w:hAnsi="Times New Roman" w:eastAsia="Times New Roman" w:cs="Times New Roman"/>
          <w:color w:val="auto"/>
          <w:spacing w:val="-3"/>
          <w:sz w:val="24"/>
          <w:szCs w:val="24"/>
        </w:rPr>
      </w:pPr>
    </w:p>
    <w:sectPr>
      <w:headerReference r:id="rId3" w:type="default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EBB32C">
    <w:pPr>
      <w:spacing w:before="0" w:after="0"/>
      <w:ind w:firstLine="420"/>
      <w:rPr>
        <w:rFonts w:ascii="Times New Roman" w:hAnsi="Times New Roman" w:eastAsia="Times New Roman" w:cs="Times New Roman"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30"/>
  <w:documentProtection w:enforcement="0"/>
  <w:defaultTabStop w:val="720"/>
  <w:noPunctuationKerning w:val="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1F23F5D"/>
    <w:rsid w:val="564F5F3A"/>
    <w:rsid w:val="6CDCDD8F"/>
    <w:rsid w:val="78265CDC"/>
    <w:rsid w:val="7B36465D"/>
    <w:rsid w:val="B3F6A9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240" w:after="0"/>
      <w:outlineLvl w:val="0"/>
    </w:pPr>
    <w:rPr>
      <w:rFonts w:ascii="Times New Roman" w:hAnsi="Times New Roman" w:eastAsia="Times New Roman" w:cs="Times New Roman"/>
      <w:b/>
      <w:bCs/>
      <w:color w:val="2F5496"/>
      <w:kern w:val="36"/>
      <w:sz w:val="48"/>
      <w:szCs w:val="48"/>
    </w:rPr>
  </w:style>
  <w:style w:type="paragraph" w:styleId="3">
    <w:name w:val="heading 2"/>
    <w:basedOn w:val="1"/>
    <w:next w:val="1"/>
    <w:link w:val="12"/>
    <w:qFormat/>
    <w:uiPriority w:val="9"/>
    <w:pPr>
      <w:keepNext/>
      <w:keepLines/>
      <w:spacing w:before="40" w:after="0"/>
      <w:outlineLvl w:val="1"/>
    </w:pPr>
    <w:rPr>
      <w:rFonts w:ascii="Times New Roman" w:hAnsi="Times New Roman" w:eastAsia="Times New Roman" w:cs="Times New Roman"/>
      <w:b/>
      <w:bCs/>
      <w:color w:val="2F5496"/>
      <w:sz w:val="36"/>
      <w:szCs w:val="36"/>
    </w:rPr>
  </w:style>
  <w:style w:type="paragraph" w:styleId="4">
    <w:name w:val="heading 3"/>
    <w:basedOn w:val="1"/>
    <w:next w:val="1"/>
    <w:link w:val="13"/>
    <w:qFormat/>
    <w:uiPriority w:val="9"/>
    <w:pPr>
      <w:keepNext/>
      <w:keepLines/>
      <w:spacing w:before="40" w:after="0"/>
      <w:outlineLvl w:val="2"/>
    </w:pPr>
    <w:rPr>
      <w:rFonts w:ascii="Times New Roman" w:hAnsi="Times New Roman" w:eastAsia="Times New Roman" w:cs="Times New Roman"/>
      <w:b/>
      <w:bCs/>
      <w:color w:val="1F3763"/>
      <w:sz w:val="28"/>
      <w:szCs w:val="28"/>
    </w:rPr>
  </w:style>
  <w:style w:type="paragraph" w:styleId="5">
    <w:name w:val="heading 4"/>
    <w:basedOn w:val="1"/>
    <w:next w:val="1"/>
    <w:link w:val="14"/>
    <w:qFormat/>
    <w:uiPriority w:val="9"/>
    <w:pPr>
      <w:keepNext/>
      <w:keepLines/>
      <w:spacing w:before="40" w:after="0"/>
      <w:outlineLvl w:val="3"/>
    </w:pPr>
    <w:rPr>
      <w:rFonts w:ascii="Times New Roman" w:hAnsi="Times New Roman" w:eastAsia="Times New Roman" w:cs="Times New Roman"/>
      <w:b/>
      <w:bCs/>
      <w:iCs/>
      <w:color w:val="2F5496"/>
      <w:sz w:val="24"/>
      <w:szCs w:val="24"/>
    </w:rPr>
  </w:style>
  <w:style w:type="paragraph" w:styleId="6">
    <w:name w:val="heading 5"/>
    <w:basedOn w:val="1"/>
    <w:next w:val="1"/>
    <w:link w:val="15"/>
    <w:qFormat/>
    <w:uiPriority w:val="9"/>
    <w:pPr>
      <w:keepNext/>
      <w:keepLines/>
      <w:spacing w:before="40" w:after="0"/>
      <w:outlineLvl w:val="4"/>
    </w:pPr>
    <w:rPr>
      <w:rFonts w:ascii="Times New Roman" w:hAnsi="Times New Roman" w:eastAsia="Times New Roman" w:cs="Times New Roman"/>
      <w:b/>
      <w:bCs/>
      <w:color w:val="2F5496"/>
      <w:sz w:val="20"/>
      <w:szCs w:val="20"/>
    </w:rPr>
  </w:style>
  <w:style w:type="paragraph" w:styleId="7">
    <w:name w:val="heading 6"/>
    <w:basedOn w:val="1"/>
    <w:next w:val="1"/>
    <w:link w:val="16"/>
    <w:qFormat/>
    <w:uiPriority w:val="9"/>
    <w:pPr>
      <w:keepNext/>
      <w:keepLines/>
      <w:spacing w:before="40" w:after="0"/>
      <w:outlineLvl w:val="5"/>
    </w:pPr>
    <w:rPr>
      <w:rFonts w:ascii="Times New Roman" w:hAnsi="Times New Roman" w:eastAsia="Times New Roman" w:cs="Times New Roman"/>
      <w:b/>
      <w:bCs/>
      <w:color w:val="1F3763"/>
      <w:sz w:val="16"/>
      <w:szCs w:val="16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qFormat/>
    <w:uiPriority w:val="99"/>
    <w:rPr>
      <w:sz w:val="16"/>
      <w:szCs w:val="16"/>
    </w:rPr>
  </w:style>
  <w:style w:type="character" w:customStyle="1" w:styleId="11">
    <w:name w:val="Heading 1 Char"/>
    <w:basedOn w:val="9"/>
    <w:link w:val="2"/>
    <w:qFormat/>
    <w:uiPriority w:val="9"/>
    <w:rPr>
      <w:rFonts w:ascii="Calibri Light" w:hAnsi="Calibri Light" w:eastAsia="Times New Roman" w:cs="Times New Roman"/>
      <w:color w:val="2F5496"/>
      <w:sz w:val="32"/>
      <w:szCs w:val="32"/>
    </w:rPr>
  </w:style>
  <w:style w:type="character" w:customStyle="1" w:styleId="12">
    <w:name w:val="Heading 2 Char"/>
    <w:basedOn w:val="9"/>
    <w:link w:val="3"/>
    <w:qFormat/>
    <w:uiPriority w:val="9"/>
    <w:rPr>
      <w:rFonts w:ascii="Calibri Light" w:hAnsi="Calibri Light" w:eastAsia="Times New Roman" w:cs="Times New Roman"/>
      <w:color w:val="2F5496"/>
      <w:sz w:val="26"/>
      <w:szCs w:val="26"/>
    </w:rPr>
  </w:style>
  <w:style w:type="character" w:customStyle="1" w:styleId="13">
    <w:name w:val="Heading 3 Char"/>
    <w:basedOn w:val="9"/>
    <w:link w:val="4"/>
    <w:qFormat/>
    <w:uiPriority w:val="9"/>
    <w:rPr>
      <w:rFonts w:ascii="Calibri Light" w:hAnsi="Calibri Light" w:eastAsia="Times New Roman" w:cs="Times New Roman"/>
      <w:color w:val="1F3763"/>
      <w:sz w:val="24"/>
      <w:szCs w:val="24"/>
    </w:rPr>
  </w:style>
  <w:style w:type="character" w:customStyle="1" w:styleId="14">
    <w:name w:val="Heading 4 Char"/>
    <w:basedOn w:val="9"/>
    <w:link w:val="5"/>
    <w:qFormat/>
    <w:uiPriority w:val="9"/>
    <w:rPr>
      <w:rFonts w:ascii="Calibri Light" w:hAnsi="Calibri Light" w:eastAsia="Times New Roman" w:cs="Times New Roman"/>
      <w:i/>
      <w:iCs/>
      <w:color w:val="2F5496"/>
    </w:rPr>
  </w:style>
  <w:style w:type="character" w:customStyle="1" w:styleId="15">
    <w:name w:val="Heading 5 Char"/>
    <w:basedOn w:val="9"/>
    <w:link w:val="6"/>
    <w:qFormat/>
    <w:uiPriority w:val="9"/>
    <w:rPr>
      <w:rFonts w:ascii="Calibri Light" w:hAnsi="Calibri Light" w:eastAsia="Times New Roman" w:cs="Times New Roman"/>
      <w:color w:val="2F5496"/>
    </w:rPr>
  </w:style>
  <w:style w:type="character" w:customStyle="1" w:styleId="16">
    <w:name w:val="Heading 6 Char"/>
    <w:basedOn w:val="9"/>
    <w:link w:val="7"/>
    <w:qFormat/>
    <w:uiPriority w:val="9"/>
    <w:rPr>
      <w:rFonts w:ascii="Calibri Light" w:hAnsi="Calibri Light" w:eastAsia="Times New Roman" w:cs="Times New Roman"/>
      <w:color w:val="1F3763"/>
    </w:rPr>
  </w:style>
  <w:style w:type="character" w:customStyle="1" w:styleId="17">
    <w:name w:val="contractReviewCommentRevision_a9ce976f066a4eb5a3dc8767d0ce990d"/>
    <w:basedOn w:val="9"/>
    <w:qFormat/>
    <w:uiPriority w:val="0"/>
  </w:style>
  <w:style w:type="character" w:customStyle="1" w:styleId="18">
    <w:name w:val="contractReviewCommentRevision_d65f741d22b04d3d96e2bdc1293acdb4"/>
    <w:basedOn w:val="9"/>
    <w:qFormat/>
    <w:uiPriority w:val="0"/>
  </w:style>
  <w:style w:type="character" w:customStyle="1" w:styleId="19">
    <w:name w:val="contractReviewCommentRevision_b7d73b8b881345f7a381edf2e452b7b3"/>
    <w:basedOn w:val="9"/>
    <w:qFormat/>
    <w:uiPriority w:val="0"/>
  </w:style>
  <w:style w:type="character" w:customStyle="1" w:styleId="20">
    <w:name w:val="contractReviewCommentRevision_0fb0df5fd0bf4cac80daef49e7b9a61d"/>
    <w:basedOn w:val="9"/>
    <w:qFormat/>
    <w:uiPriority w:val="0"/>
  </w:style>
  <w:style w:type="character" w:customStyle="1" w:styleId="21">
    <w:name w:val="contractReviewCommentRevision_3e95086e4ad44fe2808b48b9d4591a1c"/>
    <w:basedOn w:val="9"/>
    <w:qFormat/>
    <w:uiPriority w:val="0"/>
  </w:style>
  <w:style w:type="character" w:customStyle="1" w:styleId="22">
    <w:name w:val="contractReviewCommentRevision_1005aead8eef40a2a730b827a422ca84"/>
    <w:basedOn w:val="9"/>
    <w:qFormat/>
    <w:uiPriority w:val="0"/>
  </w:style>
  <w:style w:type="character" w:customStyle="1" w:styleId="23">
    <w:name w:val="contractReviewCommentRevision_cfca5d6490e046a88e292174e461ca47"/>
    <w:basedOn w:val="9"/>
    <w:qFormat/>
    <w:uiPriority w:val="0"/>
  </w:style>
  <w:style w:type="character" w:customStyle="1" w:styleId="24">
    <w:name w:val="contractReviewCommentRevision_916f39aa9df040c6afa3aaeec6fb0c47"/>
    <w:basedOn w:val="9"/>
    <w:qFormat/>
    <w:uiPriority w:val="0"/>
  </w:style>
  <w:style w:type="character" w:customStyle="1" w:styleId="25">
    <w:name w:val="contractReviewCommentRevision_312701644e27427484b8c0598106b4b0"/>
    <w:basedOn w:val="9"/>
    <w:qFormat/>
    <w:uiPriority w:val="0"/>
  </w:style>
  <w:style w:type="character" w:customStyle="1" w:styleId="26">
    <w:name w:val="contractReviewCommentRevision_fa065395dcbd496e8e08dac60d61f70f"/>
    <w:basedOn w:val="9"/>
    <w:qFormat/>
    <w:uiPriority w:val="0"/>
  </w:style>
  <w:style w:type="character" w:customStyle="1" w:styleId="27">
    <w:name w:val="contractReviewCommentRevision_78fc6d440f9a40ccbfccdcf04b574c5f"/>
    <w:basedOn w:val="9"/>
    <w:qFormat/>
    <w:uiPriority w:val="0"/>
  </w:style>
  <w:style w:type="character" w:customStyle="1" w:styleId="28">
    <w:name w:val="contractReviewCommentRevision_f6e62f91e1d241fc9c913b97b7d4c9d3"/>
    <w:basedOn w:val="9"/>
    <w:qFormat/>
    <w:uiPriority w:val="0"/>
  </w:style>
  <w:style w:type="character" w:customStyle="1" w:styleId="29">
    <w:name w:val="contractReviewCommentRevision_2773fa3fce68494badee6a591a73111c"/>
    <w:basedOn w:val="9"/>
    <w:qFormat/>
    <w:uiPriority w:val="0"/>
  </w:style>
  <w:style w:type="character" w:customStyle="1" w:styleId="30">
    <w:name w:val="contractReviewCommentRevision_ef0f6eb52b934e969ff1bde134147ce7"/>
    <w:basedOn w:val="9"/>
    <w:qFormat/>
    <w:uiPriority w:val="0"/>
  </w:style>
  <w:style w:type="character" w:customStyle="1" w:styleId="31">
    <w:name w:val="contractReviewCommentRevision_f7fa30e23a504d73a47b423ce8931be0"/>
    <w:basedOn w:val="9"/>
    <w:qFormat/>
    <w:uiPriority w:val="0"/>
  </w:style>
  <w:style w:type="character" w:customStyle="1" w:styleId="32">
    <w:name w:val="contractReviewCommentRevision_21702c7e8c17483b84f551e53ec2ad3f"/>
    <w:basedOn w:val="9"/>
    <w:qFormat/>
    <w:uiPriority w:val="0"/>
  </w:style>
  <w:style w:type="character" w:customStyle="1" w:styleId="33">
    <w:name w:val="contractReviewCommentRevision_17941ae28bcc4000a7ad50afcba61bab"/>
    <w:basedOn w:val="9"/>
    <w:qFormat/>
    <w:uiPriority w:val="0"/>
  </w:style>
  <w:style w:type="character" w:customStyle="1" w:styleId="34">
    <w:name w:val="contractReviewCommentRevision_6bfac9f1abc341478942ce337b1f2237"/>
    <w:basedOn w:val="9"/>
    <w:qFormat/>
    <w:uiPriority w:val="0"/>
  </w:style>
  <w:style w:type="character" w:customStyle="1" w:styleId="35">
    <w:name w:val="contractReviewCommentRevision_03fa89566b1348baad697a84d064608b"/>
    <w:basedOn w:val="9"/>
    <w:qFormat/>
    <w:uiPriority w:val="0"/>
  </w:style>
  <w:style w:type="character" w:customStyle="1" w:styleId="36">
    <w:name w:val="contractReviewCommentRevision_b44005f7781341b59efa479370efd4cb"/>
    <w:basedOn w:val="9"/>
    <w:qFormat/>
    <w:uiPriority w:val="0"/>
  </w:style>
  <w:style w:type="character" w:customStyle="1" w:styleId="37">
    <w:name w:val="contractReviewCommentRevision_9960bbbb149e492a95875ccef211e729"/>
    <w:basedOn w:val="9"/>
    <w:qFormat/>
    <w:uiPriority w:val="0"/>
  </w:style>
  <w:style w:type="character" w:customStyle="1" w:styleId="38">
    <w:name w:val="contractReviewCommentRevision_f4ce93a743364bca9ecf266f20756252"/>
    <w:basedOn w:val="9"/>
    <w:qFormat/>
    <w:uiPriority w:val="0"/>
  </w:style>
  <w:style w:type="character" w:customStyle="1" w:styleId="39">
    <w:name w:val="contractReviewCommentRevision_6b6a77a6d2e94daca6141a2f7d720b9f"/>
    <w:basedOn w:val="9"/>
    <w:qFormat/>
    <w:uiPriority w:val="0"/>
  </w:style>
  <w:style w:type="character" w:customStyle="1" w:styleId="40">
    <w:name w:val="contractReviewCommentRevision_b63247559ea14867b11535384c15cc80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5268</Words>
  <Characters>5387</Characters>
  <Lines>0</Lines>
  <Paragraphs>0</Paragraphs>
  <TotalTime>13</TotalTime>
  <ScaleCrop>false</ScaleCrop>
  <LinksUpToDate>false</LinksUpToDate>
  <CharactersWithSpaces>5469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2025-12-11T21:45:00Z</dcterms:created>
  <dc:creator>Data</dc:creator>
  <cp:lastModifiedBy>a</cp:lastModifiedBy>
  <dcterms:modified xsi:type="dcterms:W3CDTF">2026-01-13T06:45:42Z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592A78925647428FB8E15D5265FDE1EE_13</vt:lpwstr>
  </property>
  <property fmtid="{D5CDD505-2E9C-101B-9397-08002B2CF9AE}" pid="4" name="KSOTemplateDocerSaveRecord">
    <vt:lpwstr>eyJoZGlkIjoiOTZkOWJhZDUzY2YzMmU1MzgzY2M4MmU2ZmRmOTE3OTciLCJ1c2VySWQiOiI0Njk4ODYwOTcifQ==</vt:lpwstr>
  </property>
</Properties>
</file>